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59" w:rsidRDefault="007E1424">
      <w:pPr>
        <w:spacing w:after="0"/>
        <w:ind w:right="309"/>
        <w:jc w:val="right"/>
      </w:pPr>
      <w:bookmarkStart w:id="0" w:name="_GoBack"/>
      <w:bookmarkEnd w:id="0"/>
      <w:r>
        <w:rPr>
          <w:rFonts w:ascii="Times New Roman" w:eastAsia="Times New Roman" w:hAnsi="Times New Roman" w:cs="Times New Roman"/>
          <w:b/>
          <w:color w:val="656599"/>
          <w:sz w:val="20"/>
        </w:rPr>
        <w:t xml:space="preserve"> </w:t>
      </w:r>
    </w:p>
    <w:p w:rsidR="004F6359" w:rsidRDefault="007E1424">
      <w:pPr>
        <w:spacing w:after="118"/>
        <w:ind w:left="6845" w:right="-43"/>
      </w:pPr>
      <w:r>
        <w:rPr>
          <w:noProof/>
        </w:rPr>
        <mc:AlternateContent>
          <mc:Choice Requires="wpg">
            <w:drawing>
              <wp:inline distT="0" distB="0" distL="0" distR="0">
                <wp:extent cx="1800606" cy="19050"/>
                <wp:effectExtent l="0" t="0" r="0" b="0"/>
                <wp:docPr id="9542" name="Group 9542"/>
                <wp:cNvGraphicFramePr/>
                <a:graphic xmlns:a="http://schemas.openxmlformats.org/drawingml/2006/main">
                  <a:graphicData uri="http://schemas.microsoft.com/office/word/2010/wordprocessingGroup">
                    <wpg:wgp>
                      <wpg:cNvGrpSpPr/>
                      <wpg:grpSpPr>
                        <a:xfrm>
                          <a:off x="0" y="0"/>
                          <a:ext cx="1800606" cy="19050"/>
                          <a:chOff x="0" y="0"/>
                          <a:chExt cx="1800606" cy="19050"/>
                        </a:xfrm>
                      </wpg:grpSpPr>
                      <wps:wsp>
                        <wps:cNvPr id="35" name="Shape 35"/>
                        <wps:cNvSpPr/>
                        <wps:spPr>
                          <a:xfrm>
                            <a:off x="0" y="0"/>
                            <a:ext cx="1800606" cy="0"/>
                          </a:xfrm>
                          <a:custGeom>
                            <a:avLst/>
                            <a:gdLst/>
                            <a:ahLst/>
                            <a:cxnLst/>
                            <a:rect l="0" t="0" r="0" b="0"/>
                            <a:pathLst>
                              <a:path w="1800606">
                                <a:moveTo>
                                  <a:pt x="0" y="0"/>
                                </a:moveTo>
                                <a:lnTo>
                                  <a:pt x="1800606" y="0"/>
                                </a:lnTo>
                              </a:path>
                            </a:pathLst>
                          </a:custGeom>
                          <a:ln w="19050"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2" style="width:141.78pt;height:1.5pt;mso-position-horizontal-relative:char;mso-position-vertical-relative:line" coordsize="18006,190">
                <v:shape id="Shape 35" style="position:absolute;width:18006;height:0;left:0;top:0;" coordsize="1800606,0" path="m0,0l1800606,0">
                  <v:stroke weight="1.5pt" endcap="flat" joinstyle="round" on="true" color="#666699"/>
                  <v:fill on="false" color="#000000" opacity="0"/>
                </v:shape>
              </v:group>
            </w:pict>
          </mc:Fallback>
        </mc:AlternateContent>
      </w:r>
    </w:p>
    <w:p w:rsidR="004F6359" w:rsidRDefault="007E1424">
      <w:pPr>
        <w:spacing w:after="0"/>
        <w:jc w:val="right"/>
      </w:pPr>
      <w:r>
        <w:rPr>
          <w:rFonts w:ascii="Times New Roman" w:eastAsia="Times New Roman" w:hAnsi="Times New Roman" w:cs="Times New Roman"/>
          <w:b/>
          <w:color w:val="656599"/>
          <w:sz w:val="40"/>
        </w:rPr>
        <w:t xml:space="preserve">Olgu Sunumu </w:t>
      </w:r>
      <w:r>
        <w:rPr>
          <w:sz w:val="34"/>
          <w:vertAlign w:val="subscript"/>
        </w:rPr>
        <w:t xml:space="preserve"> </w:t>
      </w:r>
    </w:p>
    <w:p w:rsidR="004F6359" w:rsidRDefault="007E1424">
      <w:pPr>
        <w:tabs>
          <w:tab w:val="right" w:pos="9638"/>
        </w:tabs>
        <w:spacing w:after="260"/>
        <w:ind w:right="-29"/>
      </w:pPr>
      <w:r>
        <w:rPr>
          <w:rFonts w:ascii="Times New Roman" w:eastAsia="Times New Roman" w:hAnsi="Times New Roman" w:cs="Times New Roman"/>
          <w:b/>
          <w:sz w:val="27"/>
        </w:rPr>
        <w:t xml:space="preserve"> </w:t>
      </w:r>
      <w:r>
        <w:rPr>
          <w:rFonts w:ascii="Times New Roman" w:eastAsia="Times New Roman" w:hAnsi="Times New Roman" w:cs="Times New Roman"/>
          <w:b/>
          <w:sz w:val="27"/>
        </w:rPr>
        <w:tab/>
      </w:r>
      <w:r>
        <w:rPr>
          <w:noProof/>
        </w:rPr>
        <mc:AlternateContent>
          <mc:Choice Requires="wpg">
            <w:drawing>
              <wp:inline distT="0" distB="0" distL="0" distR="0">
                <wp:extent cx="1800606" cy="19050"/>
                <wp:effectExtent l="0" t="0" r="0" b="0"/>
                <wp:docPr id="9541" name="Group 9541"/>
                <wp:cNvGraphicFramePr/>
                <a:graphic xmlns:a="http://schemas.openxmlformats.org/drawingml/2006/main">
                  <a:graphicData uri="http://schemas.microsoft.com/office/word/2010/wordprocessingGroup">
                    <wpg:wgp>
                      <wpg:cNvGrpSpPr/>
                      <wpg:grpSpPr>
                        <a:xfrm>
                          <a:off x="0" y="0"/>
                          <a:ext cx="1800606" cy="19050"/>
                          <a:chOff x="0" y="0"/>
                          <a:chExt cx="1800606" cy="19050"/>
                        </a:xfrm>
                      </wpg:grpSpPr>
                      <wps:wsp>
                        <wps:cNvPr id="34" name="Shape 34"/>
                        <wps:cNvSpPr/>
                        <wps:spPr>
                          <a:xfrm>
                            <a:off x="0" y="0"/>
                            <a:ext cx="1800606" cy="0"/>
                          </a:xfrm>
                          <a:custGeom>
                            <a:avLst/>
                            <a:gdLst/>
                            <a:ahLst/>
                            <a:cxnLst/>
                            <a:rect l="0" t="0" r="0" b="0"/>
                            <a:pathLst>
                              <a:path w="1800606">
                                <a:moveTo>
                                  <a:pt x="0" y="0"/>
                                </a:moveTo>
                                <a:lnTo>
                                  <a:pt x="1800606" y="0"/>
                                </a:lnTo>
                              </a:path>
                            </a:pathLst>
                          </a:custGeom>
                          <a:ln w="19050"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1" style="width:141.78pt;height:1.5pt;mso-position-horizontal-relative:char;mso-position-vertical-relative:line" coordsize="18006,190">
                <v:shape id="Shape 34" style="position:absolute;width:18006;height:0;left:0;top:0;" coordsize="1800606,0" path="m0,0l1800606,0">
                  <v:stroke weight="1.5pt" endcap="flat" joinstyle="round" on="true" color="#666699"/>
                  <v:fill on="false" color="#000000" opacity="0"/>
                </v:shape>
              </v:group>
            </w:pict>
          </mc:Fallback>
        </mc:AlternateContent>
      </w:r>
    </w:p>
    <w:p w:rsidR="004F6359" w:rsidRDefault="007E1424">
      <w:pPr>
        <w:spacing w:after="253"/>
      </w:pPr>
      <w:r>
        <w:rPr>
          <w:rFonts w:ascii="Times New Roman" w:eastAsia="Times New Roman" w:hAnsi="Times New Roman" w:cs="Times New Roman"/>
          <w:b/>
          <w:sz w:val="27"/>
        </w:rPr>
        <w:t xml:space="preserve"> </w:t>
      </w:r>
    </w:p>
    <w:p w:rsidR="004F6359" w:rsidRDefault="007E1424">
      <w:pPr>
        <w:spacing w:after="449"/>
      </w:pPr>
      <w:r>
        <w:rPr>
          <w:rFonts w:ascii="Times New Roman" w:eastAsia="Times New Roman" w:hAnsi="Times New Roman" w:cs="Times New Roman"/>
          <w:b/>
          <w:sz w:val="27"/>
        </w:rPr>
        <w:t xml:space="preserve"> </w:t>
      </w:r>
    </w:p>
    <w:p w:rsidR="004F6359" w:rsidRDefault="007E1424">
      <w:pPr>
        <w:spacing w:after="0" w:line="239" w:lineRule="auto"/>
      </w:pPr>
      <w:r>
        <w:rPr>
          <w:rFonts w:ascii="Arial" w:eastAsia="Arial" w:hAnsi="Arial" w:cs="Arial"/>
          <w:b/>
          <w:sz w:val="48"/>
        </w:rPr>
        <w:t xml:space="preserve">May There Be A Link Between Molybdenum Cofactor Deficiency And Pyloric Stenosis? </w:t>
      </w:r>
    </w:p>
    <w:p w:rsidR="004F6359" w:rsidRDefault="007E1424">
      <w:pPr>
        <w:spacing w:after="0" w:line="239" w:lineRule="auto"/>
        <w:ind w:right="10"/>
      </w:pPr>
      <w:r>
        <w:rPr>
          <w:rFonts w:ascii="Times New Roman" w:eastAsia="Times New Roman" w:hAnsi="Times New Roman" w:cs="Times New Roman"/>
        </w:rPr>
        <w:t xml:space="preserve">MOLİBDEN KOFAKTÖR EKSİKLİĞİ İLE PİLOR STENOZU ARASINDA BİR BAĞLANTI  OLABİLİR Mİ? </w:t>
      </w:r>
    </w:p>
    <w:p w:rsidR="004F6359" w:rsidRDefault="007E1424">
      <w:pPr>
        <w:spacing w:after="0"/>
      </w:pPr>
      <w:r>
        <w:rPr>
          <w:rFonts w:ascii="Times New Roman" w:eastAsia="Times New Roman" w:hAnsi="Times New Roman" w:cs="Times New Roman"/>
        </w:rPr>
        <w:t xml:space="preserve"> </w:t>
      </w:r>
    </w:p>
    <w:p w:rsidR="004F6359" w:rsidRDefault="007E1424">
      <w:pPr>
        <w:spacing w:after="0"/>
      </w:pPr>
      <w:r>
        <w:rPr>
          <w:rFonts w:ascii="Times New Roman" w:eastAsia="Times New Roman" w:hAnsi="Times New Roman" w:cs="Times New Roman"/>
        </w:rPr>
        <w:t xml:space="preserve"> </w:t>
      </w:r>
    </w:p>
    <w:p w:rsidR="004F6359" w:rsidRDefault="007E1424">
      <w:pPr>
        <w:spacing w:after="0"/>
      </w:pPr>
      <w:r>
        <w:rPr>
          <w:rFonts w:ascii="Times New Roman" w:eastAsia="Times New Roman" w:hAnsi="Times New Roman" w:cs="Times New Roman"/>
        </w:rPr>
        <w:t xml:space="preserve"> </w:t>
      </w:r>
    </w:p>
    <w:p w:rsidR="004F6359" w:rsidRDefault="007E1424">
      <w:pPr>
        <w:spacing w:after="0"/>
      </w:pPr>
      <w:r>
        <w:rPr>
          <w:rFonts w:ascii="Times New Roman" w:eastAsia="Times New Roman" w:hAnsi="Times New Roman" w:cs="Times New Roman"/>
          <w:b/>
        </w:rPr>
        <w:t>Uluç YİŞ</w:t>
      </w:r>
      <w:r>
        <w:rPr>
          <w:rFonts w:ascii="Times New Roman" w:eastAsia="Times New Roman" w:hAnsi="Times New Roman" w:cs="Times New Roman"/>
          <w:b/>
          <w:vertAlign w:val="superscript"/>
        </w:rPr>
        <w:t>1</w:t>
      </w:r>
      <w:r>
        <w:rPr>
          <w:rFonts w:ascii="Times New Roman" w:eastAsia="Times New Roman" w:hAnsi="Times New Roman" w:cs="Times New Roman"/>
          <w:b/>
        </w:rPr>
        <w:t>, Ziyaeddin HASTÜRK</w:t>
      </w:r>
      <w:r>
        <w:rPr>
          <w:rFonts w:ascii="Times New Roman" w:eastAsia="Times New Roman" w:hAnsi="Times New Roman" w:cs="Times New Roman"/>
          <w:b/>
          <w:vertAlign w:val="superscript"/>
        </w:rPr>
        <w:t>2</w:t>
      </w:r>
      <w:r>
        <w:rPr>
          <w:b/>
          <w:vertAlign w:val="superscript"/>
        </w:rPr>
        <w:t xml:space="preserve"> </w:t>
      </w:r>
    </w:p>
    <w:p w:rsidR="004F6359" w:rsidRDefault="007E1424">
      <w:pPr>
        <w:spacing w:after="111"/>
      </w:pPr>
      <w:r>
        <w:rPr>
          <w:sz w:val="14"/>
        </w:rPr>
        <w:t xml:space="preserve"> </w:t>
      </w:r>
    </w:p>
    <w:p w:rsidR="004F6359" w:rsidRDefault="007E1424">
      <w:pPr>
        <w:spacing w:after="35"/>
        <w:ind w:left="-5" w:hanging="10"/>
      </w:pPr>
      <w:r>
        <w:rPr>
          <w:rFonts w:ascii="Arial" w:eastAsia="Arial" w:hAnsi="Arial" w:cs="Arial"/>
          <w:i/>
          <w:sz w:val="11"/>
        </w:rPr>
        <w:t>1</w:t>
      </w:r>
      <w:r>
        <w:rPr>
          <w:rFonts w:ascii="Arial" w:eastAsia="Arial" w:hAnsi="Arial" w:cs="Arial"/>
          <w:i/>
          <w:sz w:val="17"/>
        </w:rPr>
        <w:t xml:space="preserve">Dokuz Eylül University, Faculty Of Medicine, </w:t>
      </w:r>
      <w:r>
        <w:rPr>
          <w:rFonts w:ascii="Arial" w:eastAsia="Arial" w:hAnsi="Arial" w:cs="Arial"/>
          <w:i/>
          <w:sz w:val="11"/>
        </w:rPr>
        <w:t xml:space="preserve"> </w:t>
      </w:r>
      <w:r>
        <w:rPr>
          <w:rFonts w:ascii="Arial" w:eastAsia="Arial" w:hAnsi="Arial" w:cs="Arial"/>
          <w:i/>
          <w:sz w:val="17"/>
        </w:rPr>
        <w:t xml:space="preserve">Department Of Pediatrics, Division Of Child Neurology </w:t>
      </w:r>
    </w:p>
    <w:p w:rsidR="004F6359" w:rsidRDefault="004F6359">
      <w:pPr>
        <w:sectPr w:rsidR="004F6359">
          <w:pgSz w:w="11904" w:h="16840"/>
          <w:pgMar w:top="1529" w:right="1133" w:bottom="1680" w:left="1134" w:header="708" w:footer="708" w:gutter="0"/>
          <w:cols w:space="708"/>
        </w:sectPr>
      </w:pPr>
    </w:p>
    <w:p w:rsidR="004F6359" w:rsidRDefault="007E1424">
      <w:pPr>
        <w:spacing w:after="35"/>
        <w:ind w:left="-5" w:hanging="10"/>
      </w:pPr>
      <w:r>
        <w:rPr>
          <w:rFonts w:ascii="Arial" w:eastAsia="Arial" w:hAnsi="Arial" w:cs="Arial"/>
          <w:i/>
          <w:sz w:val="11"/>
        </w:rPr>
        <w:t>2</w:t>
      </w:r>
      <w:r>
        <w:rPr>
          <w:rFonts w:ascii="Arial" w:eastAsia="Arial" w:hAnsi="Arial" w:cs="Arial"/>
          <w:i/>
          <w:sz w:val="17"/>
        </w:rPr>
        <w:t xml:space="preserve">Gaziantep Children’s Hospital </w:t>
      </w:r>
    </w:p>
    <w:p w:rsidR="004F6359" w:rsidRDefault="007E1424">
      <w:pPr>
        <w:spacing w:after="28"/>
      </w:pPr>
      <w:r>
        <w:rPr>
          <w:rFonts w:ascii="Arial" w:eastAsia="Arial" w:hAnsi="Arial" w:cs="Arial"/>
          <w:b/>
          <w:sz w:val="17"/>
        </w:rPr>
        <w:t xml:space="preserve"> </w:t>
      </w:r>
    </w:p>
    <w:p w:rsidR="004F6359" w:rsidRDefault="007E1424">
      <w:pPr>
        <w:spacing w:after="28"/>
      </w:pPr>
      <w:r>
        <w:rPr>
          <w:rFonts w:ascii="Arial" w:eastAsia="Arial" w:hAnsi="Arial" w:cs="Arial"/>
          <w:b/>
          <w:sz w:val="17"/>
        </w:rPr>
        <w:t xml:space="preserve"> </w:t>
      </w:r>
    </w:p>
    <w:p w:rsidR="004F6359" w:rsidRDefault="007E1424">
      <w:pPr>
        <w:spacing w:after="27"/>
      </w:pPr>
      <w:r>
        <w:rPr>
          <w:rFonts w:ascii="Arial" w:eastAsia="Arial" w:hAnsi="Arial" w:cs="Arial"/>
          <w:b/>
          <w:sz w:val="17"/>
        </w:rPr>
        <w:t xml:space="preserve"> </w:t>
      </w:r>
    </w:p>
    <w:p w:rsidR="004F6359" w:rsidRDefault="007E1424">
      <w:pPr>
        <w:spacing w:after="28"/>
      </w:pPr>
      <w:r>
        <w:rPr>
          <w:rFonts w:ascii="Arial" w:eastAsia="Arial" w:hAnsi="Arial" w:cs="Arial"/>
          <w:b/>
          <w:sz w:val="17"/>
        </w:rPr>
        <w:t xml:space="preserve"> </w:t>
      </w:r>
    </w:p>
    <w:p w:rsidR="004F6359" w:rsidRDefault="007E1424">
      <w:pPr>
        <w:spacing w:after="28"/>
      </w:pPr>
      <w:r>
        <w:rPr>
          <w:rFonts w:ascii="Arial" w:eastAsia="Arial" w:hAnsi="Arial" w:cs="Arial"/>
          <w:b/>
          <w:sz w:val="17"/>
        </w:rPr>
        <w:t xml:space="preserve"> </w:t>
      </w:r>
    </w:p>
    <w:p w:rsidR="004F6359" w:rsidRDefault="007E1424">
      <w:pPr>
        <w:spacing w:after="28"/>
      </w:pPr>
      <w:r>
        <w:rPr>
          <w:rFonts w:ascii="Arial" w:eastAsia="Arial" w:hAnsi="Arial" w:cs="Arial"/>
          <w:b/>
          <w:sz w:val="17"/>
        </w:rPr>
        <w:t xml:space="preserve"> </w:t>
      </w:r>
    </w:p>
    <w:p w:rsidR="004F6359" w:rsidRDefault="007E1424">
      <w:pPr>
        <w:spacing w:after="27"/>
      </w:pPr>
      <w:r>
        <w:rPr>
          <w:rFonts w:ascii="Arial" w:eastAsia="Arial" w:hAnsi="Arial" w:cs="Arial"/>
          <w:b/>
          <w:sz w:val="17"/>
        </w:rPr>
        <w:t xml:space="preserve"> </w:t>
      </w:r>
    </w:p>
    <w:p w:rsidR="004F6359" w:rsidRDefault="007E1424">
      <w:pPr>
        <w:spacing w:after="28"/>
      </w:pPr>
      <w:r>
        <w:rPr>
          <w:rFonts w:ascii="Arial" w:eastAsia="Arial" w:hAnsi="Arial" w:cs="Arial"/>
          <w:b/>
          <w:sz w:val="17"/>
        </w:rPr>
        <w:t xml:space="preserve"> </w:t>
      </w:r>
    </w:p>
    <w:p w:rsidR="004F6359" w:rsidRDefault="007E1424">
      <w:pPr>
        <w:spacing w:after="28"/>
      </w:pPr>
      <w:r>
        <w:rPr>
          <w:rFonts w:ascii="Arial" w:eastAsia="Arial" w:hAnsi="Arial" w:cs="Arial"/>
          <w:b/>
          <w:sz w:val="17"/>
        </w:rPr>
        <w:t xml:space="preserve"> </w:t>
      </w:r>
    </w:p>
    <w:p w:rsidR="004F6359" w:rsidRDefault="007E1424">
      <w:pPr>
        <w:spacing w:after="28"/>
      </w:pPr>
      <w:r>
        <w:rPr>
          <w:rFonts w:ascii="Arial" w:eastAsia="Arial" w:hAnsi="Arial" w:cs="Arial"/>
          <w:b/>
          <w:sz w:val="17"/>
        </w:rPr>
        <w:t xml:space="preserve"> </w:t>
      </w:r>
    </w:p>
    <w:p w:rsidR="004F6359" w:rsidRDefault="007E1424">
      <w:pPr>
        <w:spacing w:after="27"/>
      </w:pPr>
      <w:r>
        <w:rPr>
          <w:rFonts w:ascii="Arial" w:eastAsia="Arial" w:hAnsi="Arial" w:cs="Arial"/>
          <w:b/>
          <w:sz w:val="17"/>
        </w:rPr>
        <w:t xml:space="preserve"> </w:t>
      </w:r>
    </w:p>
    <w:p w:rsidR="004F6359" w:rsidRDefault="007E1424">
      <w:pPr>
        <w:spacing w:after="28"/>
      </w:pPr>
      <w:r>
        <w:rPr>
          <w:rFonts w:ascii="Arial" w:eastAsia="Arial" w:hAnsi="Arial" w:cs="Arial"/>
          <w:b/>
          <w:sz w:val="17"/>
        </w:rPr>
        <w:t xml:space="preserve"> </w:t>
      </w:r>
    </w:p>
    <w:p w:rsidR="004F6359" w:rsidRDefault="007E1424">
      <w:pPr>
        <w:spacing w:after="6"/>
        <w:ind w:left="-5" w:hanging="10"/>
      </w:pPr>
      <w:r>
        <w:rPr>
          <w:rFonts w:ascii="Arial" w:eastAsia="Arial" w:hAnsi="Arial" w:cs="Arial"/>
          <w:b/>
          <w:sz w:val="17"/>
        </w:rPr>
        <w:t xml:space="preserve">Uluç YİŞ </w:t>
      </w:r>
    </w:p>
    <w:p w:rsidR="004F6359" w:rsidRDefault="007E1424">
      <w:pPr>
        <w:spacing w:after="4" w:line="248" w:lineRule="auto"/>
        <w:ind w:left="-5" w:hanging="10"/>
        <w:jc w:val="both"/>
      </w:pPr>
      <w:r>
        <w:rPr>
          <w:rFonts w:ascii="Book Antiqua" w:eastAsia="Book Antiqua" w:hAnsi="Book Antiqua" w:cs="Book Antiqua"/>
          <w:sz w:val="17"/>
        </w:rPr>
        <w:t xml:space="preserve">Dokuz Eylül Üniversitesi </w:t>
      </w:r>
    </w:p>
    <w:p w:rsidR="004F6359" w:rsidRDefault="007E1424">
      <w:pPr>
        <w:spacing w:after="4" w:line="248" w:lineRule="auto"/>
        <w:ind w:left="-5" w:hanging="10"/>
        <w:jc w:val="both"/>
      </w:pPr>
      <w:r>
        <w:rPr>
          <w:rFonts w:ascii="Book Antiqua" w:eastAsia="Book Antiqua" w:hAnsi="Book Antiqua" w:cs="Book Antiqua"/>
          <w:sz w:val="17"/>
        </w:rPr>
        <w:t xml:space="preserve"> Tıp Fakültesi  </w:t>
      </w:r>
    </w:p>
    <w:p w:rsidR="004F6359" w:rsidRDefault="007E1424">
      <w:pPr>
        <w:spacing w:after="4" w:line="248" w:lineRule="auto"/>
        <w:ind w:left="-5" w:hanging="10"/>
        <w:jc w:val="both"/>
      </w:pPr>
      <w:r>
        <w:rPr>
          <w:rFonts w:ascii="Book Antiqua" w:eastAsia="Book Antiqua" w:hAnsi="Book Antiqua" w:cs="Book Antiqua"/>
          <w:sz w:val="17"/>
        </w:rPr>
        <w:t>Çocuk Sağlığı ve Hastalıkları</w:t>
      </w:r>
      <w:r>
        <w:rPr>
          <w:rFonts w:ascii="Book Antiqua" w:eastAsia="Book Antiqua" w:hAnsi="Book Antiqua" w:cs="Book Antiqua"/>
          <w:sz w:val="17"/>
        </w:rPr>
        <w:t xml:space="preserve"> AD  </w:t>
      </w:r>
    </w:p>
    <w:p w:rsidR="004F6359" w:rsidRDefault="007E1424">
      <w:pPr>
        <w:spacing w:after="6" w:line="236" w:lineRule="auto"/>
        <w:ind w:right="890"/>
      </w:pPr>
      <w:r>
        <w:rPr>
          <w:rFonts w:ascii="Book Antiqua" w:eastAsia="Book Antiqua" w:hAnsi="Book Antiqua" w:cs="Book Antiqua"/>
          <w:sz w:val="17"/>
        </w:rPr>
        <w:t xml:space="preserve">Çocuk Nöroloji BD 35340 İnciraltı, İZMİR </w:t>
      </w:r>
      <w:r>
        <w:rPr>
          <w:rFonts w:ascii="Times New Roman" w:eastAsia="Times New Roman" w:hAnsi="Times New Roman" w:cs="Times New Roman"/>
          <w:b/>
          <w:sz w:val="24"/>
        </w:rPr>
        <w:t xml:space="preserve"> </w:t>
      </w:r>
      <w:r>
        <w:rPr>
          <w:rFonts w:ascii="Arial" w:eastAsia="Arial" w:hAnsi="Arial" w:cs="Arial"/>
          <w:b/>
          <w:sz w:val="17"/>
        </w:rPr>
        <w:t xml:space="preserve">SUMMARY </w:t>
      </w:r>
    </w:p>
    <w:p w:rsidR="004F6359" w:rsidRDefault="007E1424">
      <w:pPr>
        <w:spacing w:after="4" w:line="248" w:lineRule="auto"/>
        <w:ind w:left="-5" w:hanging="10"/>
        <w:jc w:val="both"/>
      </w:pPr>
      <w:r>
        <w:rPr>
          <w:rFonts w:ascii="Book Antiqua" w:eastAsia="Book Antiqua" w:hAnsi="Book Antiqua" w:cs="Book Antiqua"/>
          <w:sz w:val="17"/>
        </w:rPr>
        <w:t xml:space="preserve">Molybdenum cofactor deficiency is a neurometabolic disorder that typically presents shortly after birth with seizures, abnormal muscle tone, developmental delay and poor feeding. Pyloric stenosis is </w:t>
      </w:r>
      <w:r>
        <w:rPr>
          <w:rFonts w:ascii="Book Antiqua" w:eastAsia="Book Antiqua" w:hAnsi="Book Antiqua" w:cs="Book Antiqua"/>
          <w:sz w:val="17"/>
        </w:rPr>
        <w:t>a condition that causes severe vomiting in the first few months of life. The pathogenesis of both diseases remains unknown.We report a female infant with molybdenum cofactor deficiency and pyloric stenosis. Whether this is a coincidence or molybdenum cofac</w:t>
      </w:r>
      <w:r>
        <w:rPr>
          <w:rFonts w:ascii="Book Antiqua" w:eastAsia="Book Antiqua" w:hAnsi="Book Antiqua" w:cs="Book Antiqua"/>
          <w:sz w:val="17"/>
        </w:rPr>
        <w:t xml:space="preserve">tor deficiency may predispose to pyloric stenosis is not known, but neuronal toxicity suggests a common etiology. </w:t>
      </w:r>
    </w:p>
    <w:p w:rsidR="004F6359" w:rsidRDefault="007E1424">
      <w:pPr>
        <w:spacing w:after="4" w:line="248" w:lineRule="auto"/>
        <w:ind w:left="-5" w:hanging="10"/>
        <w:jc w:val="both"/>
      </w:pPr>
      <w:r>
        <w:rPr>
          <w:rFonts w:ascii="Book Antiqua" w:eastAsia="Book Antiqua" w:hAnsi="Book Antiqua" w:cs="Book Antiqua"/>
          <w:b/>
          <w:sz w:val="17"/>
        </w:rPr>
        <w:t xml:space="preserve">Key words: </w:t>
      </w:r>
      <w:r>
        <w:rPr>
          <w:rFonts w:ascii="Book Antiqua" w:eastAsia="Book Antiqua" w:hAnsi="Book Antiqua" w:cs="Book Antiqua"/>
          <w:sz w:val="17"/>
        </w:rPr>
        <w:t>Molybdenum cofactor deficiency, vomiting, pyloric stenosis</w:t>
      </w:r>
      <w:r>
        <w:rPr>
          <w:rFonts w:ascii="Book Antiqua" w:eastAsia="Book Antiqua" w:hAnsi="Book Antiqua" w:cs="Book Antiqua"/>
          <w:b/>
          <w:sz w:val="17"/>
        </w:rPr>
        <w:t xml:space="preserve"> </w:t>
      </w:r>
    </w:p>
    <w:p w:rsidR="004F6359" w:rsidRDefault="007E1424">
      <w:pPr>
        <w:spacing w:after="6"/>
        <w:ind w:left="-5" w:hanging="10"/>
      </w:pPr>
      <w:r>
        <w:rPr>
          <w:rFonts w:ascii="Arial" w:eastAsia="Arial" w:hAnsi="Arial" w:cs="Arial"/>
          <w:b/>
          <w:sz w:val="17"/>
        </w:rPr>
        <w:t xml:space="preserve">ÖZET </w:t>
      </w:r>
    </w:p>
    <w:p w:rsidR="004F6359" w:rsidRDefault="007E1424">
      <w:pPr>
        <w:spacing w:after="4" w:line="248" w:lineRule="auto"/>
        <w:ind w:left="-5" w:hanging="10"/>
        <w:jc w:val="both"/>
      </w:pPr>
      <w:r>
        <w:rPr>
          <w:rFonts w:ascii="Book Antiqua" w:eastAsia="Book Antiqua" w:hAnsi="Book Antiqua" w:cs="Book Antiqua"/>
          <w:sz w:val="17"/>
        </w:rPr>
        <w:t>Molibden kofaktör eksikliği tipik olarak doğumdan hemen sonra nö</w:t>
      </w:r>
      <w:r>
        <w:rPr>
          <w:rFonts w:ascii="Book Antiqua" w:eastAsia="Book Antiqua" w:hAnsi="Book Antiqua" w:cs="Book Antiqua"/>
          <w:sz w:val="17"/>
        </w:rPr>
        <w:t>betler, anormal kas tonusu, gelişme geriliği ve beslenme güçlüğü ile kendini gösteren bir nörometabolik hastalıktır. Pilor stenozu ise hayatın ilk birkaç ayında ciddi kusmalara neden olan bir durumdur. Her iki hastalığında patogenezi bilinmemektedir. Bu ya</w:t>
      </w:r>
      <w:r>
        <w:rPr>
          <w:rFonts w:ascii="Book Antiqua" w:eastAsia="Book Antiqua" w:hAnsi="Book Antiqua" w:cs="Book Antiqua"/>
          <w:sz w:val="17"/>
        </w:rPr>
        <w:t>zıda molibden kofaktör eksikliği ve pilor stenozu olan bir kız süt çocuğu sunulmaktadır. Her ne kadar bu durumun bir koinsidans mı yoksa molibden kofaktor eksikliğinin bir sonucumu olduğu bilinmese de, nöronal toksisite ortak bir etiyoloji düşündürmektedir</w:t>
      </w:r>
      <w:r>
        <w:rPr>
          <w:rFonts w:ascii="Book Antiqua" w:eastAsia="Book Antiqua" w:hAnsi="Book Antiqua" w:cs="Book Antiqua"/>
          <w:sz w:val="17"/>
        </w:rPr>
        <w:t xml:space="preserve">. </w:t>
      </w:r>
      <w:r>
        <w:rPr>
          <w:rFonts w:ascii="Book Antiqua" w:eastAsia="Book Antiqua" w:hAnsi="Book Antiqua" w:cs="Book Antiqua"/>
          <w:b/>
          <w:sz w:val="17"/>
        </w:rPr>
        <w:t xml:space="preserve">Anahtar sözcükler: </w:t>
      </w:r>
      <w:r>
        <w:rPr>
          <w:rFonts w:ascii="Book Antiqua" w:eastAsia="Book Antiqua" w:hAnsi="Book Antiqua" w:cs="Book Antiqua"/>
          <w:sz w:val="17"/>
        </w:rPr>
        <w:t xml:space="preserve">Molibden kofaktör eksikliği, kusma, pilor stenozu </w:t>
      </w:r>
    </w:p>
    <w:p w:rsidR="004F6359" w:rsidRDefault="004F6359">
      <w:pPr>
        <w:sectPr w:rsidR="004F6359">
          <w:type w:val="continuous"/>
          <w:pgSz w:w="11904" w:h="16840"/>
          <w:pgMar w:top="1440" w:right="1129" w:bottom="1440" w:left="1134" w:header="708" w:footer="708" w:gutter="0"/>
          <w:cols w:num="2" w:space="708" w:equalWidth="0">
            <w:col w:w="2565" w:space="484"/>
            <w:col w:w="6593"/>
          </w:cols>
        </w:sectPr>
      </w:pPr>
    </w:p>
    <w:p w:rsidR="004F6359" w:rsidRDefault="007E1424">
      <w:pPr>
        <w:spacing w:after="119" w:line="279" w:lineRule="auto"/>
        <w:ind w:left="-15" w:right="29" w:firstLine="275"/>
        <w:jc w:val="both"/>
      </w:pPr>
      <w:r>
        <w:rPr>
          <w:rFonts w:ascii="Palatino Linotype" w:eastAsia="Palatino Linotype" w:hAnsi="Palatino Linotype" w:cs="Palatino Linotype"/>
          <w:sz w:val="18"/>
        </w:rPr>
        <w:t>Molybdenum cofactor deficiency is an autosomal recessive metabolic disorder. Molybdenum cofactor is necessary for the function of sulfite oxidase, xanthine d</w:t>
      </w:r>
      <w:r>
        <w:rPr>
          <w:rFonts w:ascii="Palatino Linotype" w:eastAsia="Palatino Linotype" w:hAnsi="Palatino Linotype" w:cs="Palatino Linotype"/>
          <w:sz w:val="18"/>
        </w:rPr>
        <w:t xml:space="preserve">ehydrogenase and aldehyde oxidase enzymes (1,2). The most common clinical symptoms are intractable neonatal seizures, feeding difficulties and developmental delay. Patients may also present with hematuria due to increased </w:t>
      </w:r>
      <w:r>
        <w:rPr>
          <w:rFonts w:ascii="Palatino Linotype" w:eastAsia="Palatino Linotype" w:hAnsi="Palatino Linotype" w:cs="Palatino Linotype"/>
          <w:sz w:val="18"/>
        </w:rPr>
        <w:t>renal excretion of xanthine and hy</w:t>
      </w:r>
      <w:r>
        <w:rPr>
          <w:rFonts w:ascii="Palatino Linotype" w:eastAsia="Palatino Linotype" w:hAnsi="Palatino Linotype" w:cs="Palatino Linotype"/>
          <w:sz w:val="18"/>
        </w:rPr>
        <w:t>poxanthine combined with hypouricemia and low urinary uric acid (3). The definite diagnosis of the molybdenum cofactor deficiency depends on demonstration of the absent sulfite oxidase activity either skin or fibroblast culture (4). Pyloric stenosis is a c</w:t>
      </w:r>
      <w:r>
        <w:rPr>
          <w:rFonts w:ascii="Palatino Linotype" w:eastAsia="Palatino Linotype" w:hAnsi="Palatino Linotype" w:cs="Palatino Linotype"/>
          <w:sz w:val="18"/>
        </w:rPr>
        <w:t xml:space="preserve">ondition that causes severe vomiting in the first few months of life. There is narrowing of the opening from the </w:t>
      </w:r>
      <w:r>
        <w:rPr>
          <w:rFonts w:ascii="Palatino Linotype" w:eastAsia="Palatino Linotype" w:hAnsi="Palatino Linotype" w:cs="Palatino Linotype"/>
          <w:sz w:val="18"/>
        </w:rPr>
        <w:lastRenderedPageBreak/>
        <w:t xml:space="preserve">stomach to the intestines, due to enlargement of the muscle surrounding the pylorus. It is uncertain whether there is a </w:t>
      </w:r>
      <w:r>
        <w:rPr>
          <w:rFonts w:ascii="Palatino Linotype" w:eastAsia="Palatino Linotype" w:hAnsi="Palatino Linotype" w:cs="Palatino Linotype"/>
          <w:sz w:val="18"/>
        </w:rPr>
        <w:t>real congenital narrowi</w:t>
      </w:r>
      <w:r>
        <w:rPr>
          <w:rFonts w:ascii="Palatino Linotype" w:eastAsia="Palatino Linotype" w:hAnsi="Palatino Linotype" w:cs="Palatino Linotype"/>
          <w:sz w:val="18"/>
        </w:rPr>
        <w:t xml:space="preserve">ng or there is a functional hypertrophy of the muscle which develops in </w:t>
      </w:r>
    </w:p>
    <w:p w:rsidR="004F6359" w:rsidRDefault="004F6359">
      <w:pPr>
        <w:sectPr w:rsidR="004F6359">
          <w:type w:val="continuous"/>
          <w:pgSz w:w="11904" w:h="16840"/>
          <w:pgMar w:top="1440" w:right="1131" w:bottom="1440" w:left="1134" w:header="708" w:footer="708" w:gutter="0"/>
          <w:cols w:num="2" w:space="237"/>
        </w:sectPr>
      </w:pPr>
    </w:p>
    <w:p w:rsidR="004F6359" w:rsidRDefault="007E1424">
      <w:pPr>
        <w:spacing w:after="0"/>
      </w:pPr>
      <w:r>
        <w:t>©</w:t>
      </w:r>
      <w:r>
        <w:rPr>
          <w:rFonts w:ascii="Garamond" w:eastAsia="Garamond" w:hAnsi="Garamond" w:cs="Garamond"/>
        </w:rPr>
        <w:t xml:space="preserve"> </w:t>
      </w:r>
      <w:r>
        <w:rPr>
          <w:rFonts w:ascii="Times New Roman" w:eastAsia="Times New Roman" w:hAnsi="Times New Roman" w:cs="Times New Roman"/>
        </w:rPr>
        <w:t>2012</w:t>
      </w:r>
      <w:r>
        <w:t xml:space="preserve"> </w:t>
      </w:r>
      <w:r>
        <w:rPr>
          <w:rFonts w:ascii="Times New Roman" w:eastAsia="Times New Roman" w:hAnsi="Times New Roman" w:cs="Times New Roman"/>
          <w:b/>
        </w:rPr>
        <w:t>DEÜ</w:t>
      </w:r>
      <w:r>
        <w:rPr>
          <w:rFonts w:ascii="Times New Roman" w:eastAsia="Times New Roman" w:hAnsi="Times New Roman" w:cs="Times New Roman"/>
          <w:b/>
          <w:sz w:val="16"/>
        </w:rPr>
        <w:t xml:space="preserve"> </w:t>
      </w:r>
      <w:r>
        <w:rPr>
          <w:rFonts w:ascii="Times New Roman" w:eastAsia="Times New Roman" w:hAnsi="Times New Roman" w:cs="Times New Roman"/>
          <w:sz w:val="16"/>
        </w:rPr>
        <w:t>TIP</w:t>
      </w:r>
      <w:r>
        <w:rPr>
          <w:rFonts w:ascii="Times New Roman" w:eastAsia="Times New Roman" w:hAnsi="Times New Roman" w:cs="Times New Roman"/>
          <w:b/>
          <w:sz w:val="16"/>
        </w:rPr>
        <w:t xml:space="preserve"> </w:t>
      </w:r>
      <w:r>
        <w:rPr>
          <w:rFonts w:ascii="Times New Roman" w:eastAsia="Times New Roman" w:hAnsi="Times New Roman" w:cs="Times New Roman"/>
          <w:sz w:val="16"/>
        </w:rPr>
        <w:t>FAKÜLTESİ</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DERGİSİ                                                                                        CİLT 26, SAYI </w:t>
      </w:r>
      <w:r>
        <w:rPr>
          <w:sz w:val="18"/>
        </w:rPr>
        <w:t>2</w:t>
      </w:r>
      <w:r>
        <w:rPr>
          <w:rFonts w:ascii="Times New Roman" w:eastAsia="Times New Roman" w:hAnsi="Times New Roman" w:cs="Times New Roman"/>
          <w:sz w:val="16"/>
        </w:rPr>
        <w:t>, (</w:t>
      </w:r>
      <w:r>
        <w:rPr>
          <w:rFonts w:ascii="Bodoni MT" w:eastAsia="Bodoni MT" w:hAnsi="Bodoni MT" w:cs="Bodoni MT"/>
          <w:sz w:val="16"/>
        </w:rPr>
        <w:t>A</w:t>
      </w:r>
      <w:r>
        <w:rPr>
          <w:sz w:val="16"/>
        </w:rPr>
        <w:t>ĞUSTOS</w:t>
      </w:r>
      <w:r>
        <w:rPr>
          <w:rFonts w:ascii="Times New Roman" w:eastAsia="Times New Roman" w:hAnsi="Times New Roman" w:cs="Times New Roman"/>
          <w:sz w:val="16"/>
        </w:rPr>
        <w:t>) 2012, 137 - 140</w:t>
      </w:r>
      <w:r>
        <w:t xml:space="preserve"> </w:t>
      </w:r>
    </w:p>
    <w:p w:rsidR="004F6359" w:rsidRDefault="007E1424">
      <w:pPr>
        <w:tabs>
          <w:tab w:val="center" w:pos="3085"/>
        </w:tabs>
        <w:spacing w:after="80" w:line="265" w:lineRule="auto"/>
        <w:ind w:left="-15"/>
      </w:pPr>
      <w:r>
        <w:rPr>
          <w:rFonts w:ascii="Times New Roman" w:eastAsia="Times New Roman" w:hAnsi="Times New Roman" w:cs="Times New Roman"/>
          <w:b/>
          <w:sz w:val="31"/>
          <w:vertAlign w:val="subscript"/>
        </w:rPr>
        <w:t>138</w:t>
      </w:r>
      <w:r>
        <w:rPr>
          <w:rFonts w:ascii="Times New Roman" w:eastAsia="Times New Roman" w:hAnsi="Times New Roman" w:cs="Times New Roman"/>
          <w:b/>
          <w:sz w:val="31"/>
          <w:vertAlign w:val="subscript"/>
        </w:rPr>
        <w:tab/>
      </w:r>
      <w:r>
        <w:rPr>
          <w:rFonts w:ascii="Arial" w:eastAsia="Arial" w:hAnsi="Arial" w:cs="Arial"/>
          <w:sz w:val="17"/>
        </w:rPr>
        <w:t xml:space="preserve">May there be a link between  molybdenum cofactor deficiensy and pyloric stenosis </w:t>
      </w:r>
    </w:p>
    <w:p w:rsidR="004F6359" w:rsidRDefault="004F6359">
      <w:pPr>
        <w:sectPr w:rsidR="004F6359">
          <w:type w:val="continuous"/>
          <w:pgSz w:w="11904" w:h="16840"/>
          <w:pgMar w:top="1418" w:right="1167" w:bottom="1680" w:left="1134" w:header="708" w:footer="708" w:gutter="0"/>
          <w:cols w:space="708"/>
        </w:sectPr>
      </w:pPr>
    </w:p>
    <w:p w:rsidR="004F6359" w:rsidRDefault="007E1424">
      <w:pPr>
        <w:spacing w:after="119" w:line="279" w:lineRule="auto"/>
        <w:ind w:left="-15" w:right="29"/>
        <w:jc w:val="both"/>
      </w:pPr>
      <w:r>
        <w:rPr>
          <w:rFonts w:ascii="Palatino Linotype" w:eastAsia="Palatino Linotype" w:hAnsi="Palatino Linotype" w:cs="Palatino Linotype"/>
          <w:sz w:val="18"/>
        </w:rPr>
        <w:t>the first weeks of life. Abnormal muscle innervation leading to failure of relaxation of the pylorus is another suggested pathogenetic mechanism (5). Pyl</w:t>
      </w:r>
      <w:r>
        <w:rPr>
          <w:rFonts w:ascii="Palatino Linotype" w:eastAsia="Palatino Linotype" w:hAnsi="Palatino Linotype" w:cs="Palatino Linotype"/>
          <w:sz w:val="18"/>
        </w:rPr>
        <w:t xml:space="preserve">oric stenosis was previously described in only two cases with isolated sulfite oxidase deficiency and molybdenum cofactor deficiency (5,6). </w:t>
      </w:r>
    </w:p>
    <w:p w:rsidR="004F6359" w:rsidRDefault="007E1424">
      <w:pPr>
        <w:pStyle w:val="Balk1"/>
      </w:pPr>
      <w:r>
        <w:t>CASE</w:t>
      </w:r>
      <w:r>
        <w:t xml:space="preserve"> </w:t>
      </w:r>
    </w:p>
    <w:p w:rsidR="004F6359" w:rsidRDefault="007E1424">
      <w:pPr>
        <w:spacing w:after="119" w:line="279" w:lineRule="auto"/>
        <w:ind w:left="-15" w:right="29" w:firstLine="275"/>
        <w:jc w:val="both"/>
      </w:pPr>
      <w:r>
        <w:rPr>
          <w:rFonts w:ascii="Palatino Linotype" w:eastAsia="Palatino Linotype" w:hAnsi="Palatino Linotype" w:cs="Palatino Linotype"/>
          <w:sz w:val="18"/>
        </w:rPr>
        <w:t>A female infant was born as the product of first pregnancy of a 21‐year‐old mother. The parents were first co</w:t>
      </w:r>
      <w:r>
        <w:rPr>
          <w:rFonts w:ascii="Palatino Linotype" w:eastAsia="Palatino Linotype" w:hAnsi="Palatino Linotype" w:cs="Palatino Linotype"/>
          <w:sz w:val="18"/>
        </w:rPr>
        <w:t>usins. Birth history was unremarkable. The patient was transferred to neonatal intensive care unit on the third day of life with hypotonia, seizures and feeding difficulties. On physical examination, she was hypotonic and newborn reflexes were absent. Init</w:t>
      </w:r>
      <w:r>
        <w:rPr>
          <w:rFonts w:ascii="Palatino Linotype" w:eastAsia="Palatino Linotype" w:hAnsi="Palatino Linotype" w:cs="Palatino Linotype"/>
          <w:sz w:val="18"/>
        </w:rPr>
        <w:t xml:space="preserve">ial metabolic work‐up and septic screening were negative except very low levels of uric acid (0.5 and 0.3 mg/dL). The multifocal clonic seizures were controlled with phenobarbital and phenytoin treatments </w:t>
      </w:r>
      <w:r>
        <w:rPr>
          <w:rFonts w:ascii="Palatino Linotype" w:eastAsia="Palatino Linotype" w:hAnsi="Palatino Linotype" w:cs="Palatino Linotype"/>
          <w:sz w:val="18"/>
        </w:rPr>
        <w:t>and she was commenced on nasogastric feeds. Brain m</w:t>
      </w:r>
      <w:r>
        <w:rPr>
          <w:rFonts w:ascii="Palatino Linotype" w:eastAsia="Palatino Linotype" w:hAnsi="Palatino Linotype" w:cs="Palatino Linotype"/>
          <w:sz w:val="18"/>
        </w:rPr>
        <w:t>agnetic resonance imaging revealed generalized cerebral atrophy with multicystic encephalomalacia (Figure). The urine dipstick test was positive for sulfite reaction. An extremely low plasma uric acid levels and a positive urinary dipstick test suggested t</w:t>
      </w:r>
      <w:r>
        <w:rPr>
          <w:rFonts w:ascii="Palatino Linotype" w:eastAsia="Palatino Linotype" w:hAnsi="Palatino Linotype" w:cs="Palatino Linotype"/>
          <w:sz w:val="18"/>
        </w:rPr>
        <w:t xml:space="preserve">he diagnosis of molybdenum cofactor deficiency.  </w:t>
      </w:r>
    </w:p>
    <w:p w:rsidR="004F6359" w:rsidRDefault="007E1424">
      <w:pPr>
        <w:spacing w:after="119" w:line="279" w:lineRule="auto"/>
        <w:ind w:left="-15" w:right="29" w:firstLine="275"/>
        <w:jc w:val="both"/>
      </w:pPr>
      <w:r>
        <w:rPr>
          <w:rFonts w:ascii="Palatino Linotype" w:eastAsia="Palatino Linotype" w:hAnsi="Palatino Linotype" w:cs="Palatino Linotype"/>
          <w:sz w:val="18"/>
        </w:rPr>
        <w:t>On the 20th day of life, the patient was discharged from the hospital with nasogastric feeding. Ten days later, she was again admitted to the hospital with intractable vomiting after feeding. Blood gas anal</w:t>
      </w:r>
      <w:r>
        <w:rPr>
          <w:rFonts w:ascii="Palatino Linotype" w:eastAsia="Palatino Linotype" w:hAnsi="Palatino Linotype" w:cs="Palatino Linotype"/>
          <w:sz w:val="18"/>
        </w:rPr>
        <w:t>ysis revealed hypokalemic hypochloremic metabolic alkalosis and abdominal ultrasound confirmed the diagnosis of hypertrophic pylor stenosis. The patient underwent pyloromyotomy and was discharged home one week post‐operatively. The patient still suffers se</w:t>
      </w:r>
      <w:r>
        <w:rPr>
          <w:rFonts w:ascii="Palatino Linotype" w:eastAsia="Palatino Linotype" w:hAnsi="Palatino Linotype" w:cs="Palatino Linotype"/>
          <w:sz w:val="18"/>
        </w:rPr>
        <w:t xml:space="preserve">vere mental motor retardation, seizures and feeding difficulties.  </w:t>
      </w:r>
    </w:p>
    <w:p w:rsidR="004F6359" w:rsidRDefault="004F6359">
      <w:pPr>
        <w:sectPr w:rsidR="004F6359">
          <w:type w:val="continuous"/>
          <w:pgSz w:w="11904" w:h="16840"/>
          <w:pgMar w:top="1440" w:right="1130" w:bottom="1440" w:left="1134" w:header="708" w:footer="708" w:gutter="0"/>
          <w:cols w:num="2" w:space="237"/>
        </w:sectPr>
      </w:pPr>
    </w:p>
    <w:p w:rsidR="004F6359" w:rsidRDefault="007E1424">
      <w:pPr>
        <w:spacing w:after="330"/>
        <w:ind w:right="3862"/>
        <w:jc w:val="center"/>
      </w:pPr>
      <w:r>
        <w:rPr>
          <w:noProof/>
        </w:rPr>
        <w:drawing>
          <wp:inline distT="0" distB="0" distL="0" distR="0">
            <wp:extent cx="3619500" cy="3618738"/>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5"/>
                    <a:stretch>
                      <a:fillRect/>
                    </a:stretch>
                  </pic:blipFill>
                  <pic:spPr>
                    <a:xfrm>
                      <a:off x="0" y="0"/>
                      <a:ext cx="3619500" cy="3618738"/>
                    </a:xfrm>
                    <a:prstGeom prst="rect">
                      <a:avLst/>
                    </a:prstGeom>
                  </pic:spPr>
                </pic:pic>
              </a:graphicData>
            </a:graphic>
          </wp:inline>
        </w:drawing>
      </w:r>
      <w:r>
        <w:rPr>
          <w:rFonts w:ascii="Times New Roman" w:eastAsia="Times New Roman" w:hAnsi="Times New Roman" w:cs="Times New Roman"/>
          <w:sz w:val="24"/>
        </w:rPr>
        <w:t xml:space="preserve"> </w:t>
      </w:r>
    </w:p>
    <w:p w:rsidR="004F6359" w:rsidRDefault="007E1424">
      <w:pPr>
        <w:spacing w:after="0"/>
      </w:pPr>
      <w:r>
        <w:rPr>
          <w:rFonts w:ascii="Book Antiqua" w:eastAsia="Book Antiqua" w:hAnsi="Book Antiqua" w:cs="Book Antiqua"/>
          <w:b/>
          <w:sz w:val="16"/>
        </w:rPr>
        <w:t>Figure.</w:t>
      </w:r>
      <w:r>
        <w:rPr>
          <w:rFonts w:ascii="Book Antiqua" w:eastAsia="Book Antiqua" w:hAnsi="Book Antiqua" w:cs="Book Antiqua"/>
          <w:sz w:val="16"/>
        </w:rPr>
        <w:t xml:space="preserve">    Sagittal magnetic resonance imaging delineated cerebral atrophy and multicystic encephalomalasia  </w:t>
      </w:r>
    </w:p>
    <w:p w:rsidR="004F6359" w:rsidRDefault="007E1424">
      <w:pPr>
        <w:spacing w:after="80" w:line="265" w:lineRule="auto"/>
        <w:ind w:left="4001" w:hanging="10"/>
      </w:pPr>
      <w:r>
        <w:rPr>
          <w:rFonts w:ascii="Arial" w:eastAsia="Arial" w:hAnsi="Arial" w:cs="Arial"/>
          <w:sz w:val="17"/>
        </w:rPr>
        <w:t xml:space="preserve">May there be a link between  molybdenum cofactor deficiensy and pyloric stenosis       </w:t>
      </w:r>
      <w:r>
        <w:rPr>
          <w:rFonts w:ascii="Times New Roman" w:eastAsia="Times New Roman" w:hAnsi="Times New Roman" w:cs="Times New Roman"/>
          <w:b/>
          <w:sz w:val="20"/>
        </w:rPr>
        <w:t>139</w:t>
      </w:r>
      <w:r>
        <w:rPr>
          <w:rFonts w:ascii="Arial" w:eastAsia="Arial" w:hAnsi="Arial" w:cs="Arial"/>
          <w:sz w:val="17"/>
        </w:rPr>
        <w:t xml:space="preserve"> </w:t>
      </w:r>
    </w:p>
    <w:p w:rsidR="004F6359" w:rsidRDefault="004F6359">
      <w:pPr>
        <w:sectPr w:rsidR="004F6359">
          <w:type w:val="continuous"/>
          <w:pgSz w:w="11904" w:h="16840"/>
          <w:pgMar w:top="1446" w:right="1133" w:bottom="2394" w:left="1134" w:header="708" w:footer="708" w:gutter="0"/>
          <w:cols w:space="708"/>
        </w:sectPr>
      </w:pPr>
    </w:p>
    <w:p w:rsidR="004F6359" w:rsidRDefault="007E1424">
      <w:pPr>
        <w:pStyle w:val="Balk1"/>
        <w:ind w:left="-5"/>
      </w:pPr>
      <w:r>
        <w:lastRenderedPageBreak/>
        <w:t>DISCUSSION</w:t>
      </w:r>
      <w:r>
        <w:t xml:space="preserve"> </w:t>
      </w:r>
    </w:p>
    <w:p w:rsidR="004F6359" w:rsidRDefault="007E1424">
      <w:pPr>
        <w:spacing w:after="119" w:line="279" w:lineRule="auto"/>
        <w:ind w:left="-15" w:right="29" w:firstLine="275"/>
        <w:jc w:val="both"/>
      </w:pPr>
      <w:r>
        <w:rPr>
          <w:rFonts w:ascii="Palatino Linotype" w:eastAsia="Palatino Linotype" w:hAnsi="Palatino Linotype" w:cs="Palatino Linotype"/>
          <w:sz w:val="18"/>
        </w:rPr>
        <w:t xml:space="preserve">Molybdenum cofactor deficiency is characterized by lack of activity of the enzymes sulfite oxidase, aldehyde dehydrogenase and xanthine </w:t>
      </w:r>
      <w:r>
        <w:rPr>
          <w:rFonts w:ascii="Palatino Linotype" w:eastAsia="Palatino Linotype" w:hAnsi="Palatino Linotype" w:cs="Palatino Linotype"/>
          <w:sz w:val="18"/>
        </w:rPr>
        <w:t>oxidase and clinical findings are indistinguishable from isolated sulfite oxidase deficiency (1,2). Laboratory findings in our case suggested molybdenum cofactor deficiency because in isolated sulfite oxidase deficiency, there are increased levels of sulfi</w:t>
      </w:r>
      <w:r>
        <w:rPr>
          <w:rFonts w:ascii="Palatino Linotype" w:eastAsia="Palatino Linotype" w:hAnsi="Palatino Linotype" w:cs="Palatino Linotype"/>
          <w:sz w:val="18"/>
        </w:rPr>
        <w:t xml:space="preserve">te in the urine, whereas blood uric acid levels remain normal. In the present case, repeated serum uric acid levels revealed very low levels.  </w:t>
      </w:r>
    </w:p>
    <w:p w:rsidR="004F6359" w:rsidRDefault="007E1424">
      <w:pPr>
        <w:spacing w:after="119" w:line="279" w:lineRule="auto"/>
        <w:ind w:left="-15" w:right="29" w:firstLine="275"/>
        <w:jc w:val="both"/>
      </w:pPr>
      <w:r>
        <w:rPr>
          <w:rFonts w:ascii="Palatino Linotype" w:eastAsia="Palatino Linotype" w:hAnsi="Palatino Linotype" w:cs="Palatino Linotype"/>
          <w:sz w:val="18"/>
        </w:rPr>
        <w:t>Two previously reported cases together with our case suggest that sulfite oxidase deficiency and molybdenum cofa</w:t>
      </w:r>
      <w:r>
        <w:rPr>
          <w:rFonts w:ascii="Palatino Linotype" w:eastAsia="Palatino Linotype" w:hAnsi="Palatino Linotype" w:cs="Palatino Linotype"/>
          <w:sz w:val="18"/>
        </w:rPr>
        <w:t>ctor deficiency may predispose pyloric stenosis (6,7). Abnormal innervation of the pyloric muscle due to deficient number of nerve terminals and decreased amount of nitric oxide which is a mediator of relaxation in the gastrointestinal tract are postulated</w:t>
      </w:r>
      <w:r>
        <w:rPr>
          <w:rFonts w:ascii="Palatino Linotype" w:eastAsia="Palatino Linotype" w:hAnsi="Palatino Linotype" w:cs="Palatino Linotype"/>
          <w:sz w:val="18"/>
        </w:rPr>
        <w:t xml:space="preserve"> pathophysiologic mechanisms for pyloric stenosis (8,9). The encephalopathy symptoms in molybdenum cofactor deficiency are related to sulfite metabolites. Sulfite might damage mitochondrial function by causing disruption of membrane integrity or indirectly</w:t>
      </w:r>
      <w:r>
        <w:rPr>
          <w:rFonts w:ascii="Palatino Linotype" w:eastAsia="Palatino Linotype" w:hAnsi="Palatino Linotype" w:cs="Palatino Linotype"/>
          <w:sz w:val="18"/>
        </w:rPr>
        <w:t xml:space="preserve"> by interfering with the tricarboxylic acid cycle. Uric acid is a potent antioxidant and a normal product of this cycle. When uric acid levels decrease in the blood, reactive oxyradicals can accumulate and contribute to neurologic injury which is a charact</w:t>
      </w:r>
      <w:r>
        <w:rPr>
          <w:rFonts w:ascii="Palatino Linotype" w:eastAsia="Palatino Linotype" w:hAnsi="Palatino Linotype" w:cs="Palatino Linotype"/>
          <w:sz w:val="18"/>
        </w:rPr>
        <w:t>eristic of molybdenum cofactor deficiency (10). The neuronal toxicity in molybdenum cofactor deficiency may also result in abnormal innervation of the muscular layer, failure of relaxation of the pyloric muscle and subsequent hypertrophy, hyperplasia and o</w:t>
      </w:r>
      <w:r>
        <w:rPr>
          <w:rFonts w:ascii="Palatino Linotype" w:eastAsia="Palatino Linotype" w:hAnsi="Palatino Linotype" w:cs="Palatino Linotype"/>
          <w:sz w:val="18"/>
        </w:rPr>
        <w:t>bstruction. On the other hand, xanthine oxidase is an important alternative enzyme in nitric oxide synthesis. When molybdenum cofactor is deficient, this pathway may be disrupted and reduced levels of nitric oxide may predispose to the development of pylor</w:t>
      </w:r>
      <w:r>
        <w:rPr>
          <w:rFonts w:ascii="Palatino Linotype" w:eastAsia="Palatino Linotype" w:hAnsi="Palatino Linotype" w:cs="Palatino Linotype"/>
          <w:sz w:val="18"/>
        </w:rPr>
        <w:t xml:space="preserve">ic stenosis (11‐13). </w:t>
      </w:r>
    </w:p>
    <w:p w:rsidR="004F6359" w:rsidRDefault="007E1424">
      <w:pPr>
        <w:spacing w:after="119" w:line="279" w:lineRule="auto"/>
        <w:ind w:left="-15" w:right="29" w:firstLine="275"/>
        <w:jc w:val="both"/>
      </w:pPr>
      <w:r>
        <w:rPr>
          <w:rFonts w:ascii="Palatino Linotype" w:eastAsia="Palatino Linotype" w:hAnsi="Palatino Linotype" w:cs="Palatino Linotype"/>
          <w:sz w:val="18"/>
        </w:rPr>
        <w:t>In conclusion, three reported cases suggest an association between pyloric stenosis and molybdenum cofactor and sulfite oxidase deficiency. Pyloric stenosis should be kept in mind in patients with molybdenum cofactor deficiency and in</w:t>
      </w:r>
      <w:r>
        <w:rPr>
          <w:rFonts w:ascii="Palatino Linotype" w:eastAsia="Palatino Linotype" w:hAnsi="Palatino Linotype" w:cs="Palatino Linotype"/>
          <w:sz w:val="18"/>
        </w:rPr>
        <w:t xml:space="preserve">tractable vomiting. Detailed immunohistochemical evaluation of the neuronal tissue of pylorus in patients with molybdenum cofactor deficiency </w:t>
      </w:r>
      <w:r>
        <w:rPr>
          <w:rFonts w:ascii="Palatino Linotype" w:eastAsia="Palatino Linotype" w:hAnsi="Palatino Linotype" w:cs="Palatino Linotype"/>
          <w:sz w:val="18"/>
        </w:rPr>
        <w:t xml:space="preserve">may provide possible finding for the pathogenesis of this disorder.  </w:t>
      </w:r>
    </w:p>
    <w:p w:rsidR="004F6359" w:rsidRDefault="007E1424">
      <w:pPr>
        <w:pStyle w:val="Balk1"/>
        <w:spacing w:after="185"/>
        <w:ind w:left="-5"/>
      </w:pPr>
      <w:r>
        <w:t>REFERENCES</w:t>
      </w:r>
      <w:r>
        <w:t xml:space="preserve"> </w:t>
      </w:r>
    </w:p>
    <w:p w:rsidR="004F6359" w:rsidRDefault="007E1424">
      <w:pPr>
        <w:numPr>
          <w:ilvl w:val="0"/>
          <w:numId w:val="1"/>
        </w:numPr>
        <w:spacing w:after="38" w:line="317" w:lineRule="auto"/>
        <w:ind w:right="135" w:hanging="358"/>
        <w:jc w:val="both"/>
      </w:pPr>
      <w:r>
        <w:rPr>
          <w:rFonts w:ascii="Bodoni MT" w:eastAsia="Bodoni MT" w:hAnsi="Bodoni MT" w:cs="Bodoni MT"/>
          <w:sz w:val="18"/>
        </w:rPr>
        <w:t xml:space="preserve">Johnson JL, Wadman SK. Molybdenum cofactor deficiency, in Scriver CR, Beaudet AL, Sly WS, Valle D (eds): The Metabolic Basis of Inherited Disease. New York, McGraw-Hill, 1995;2271–2281. </w:t>
      </w:r>
    </w:p>
    <w:p w:rsidR="004F6359" w:rsidRDefault="007E1424">
      <w:pPr>
        <w:numPr>
          <w:ilvl w:val="0"/>
          <w:numId w:val="1"/>
        </w:numPr>
        <w:spacing w:after="38" w:line="317" w:lineRule="auto"/>
        <w:ind w:right="135" w:hanging="358"/>
        <w:jc w:val="both"/>
      </w:pPr>
      <w:r>
        <w:rPr>
          <w:rFonts w:ascii="Bodoni MT" w:eastAsia="Bodoni MT" w:hAnsi="Bodoni MT" w:cs="Bodoni MT"/>
          <w:sz w:val="18"/>
        </w:rPr>
        <w:t>Pintos-Morell G, Naranjo MA, Artigas M, et al. Molybdenum cofactor de</w:t>
      </w:r>
      <w:r>
        <w:rPr>
          <w:rFonts w:ascii="Bodoni MT" w:eastAsia="Bodoni MT" w:hAnsi="Bodoni MT" w:cs="Bodoni MT"/>
          <w:sz w:val="18"/>
        </w:rPr>
        <w:t xml:space="preserve">ficiency associated with Dandy-Walker malformation. J Inherit Metab Dis 1995;18:86–87. </w:t>
      </w:r>
    </w:p>
    <w:p w:rsidR="004F6359" w:rsidRDefault="007E1424">
      <w:pPr>
        <w:numPr>
          <w:ilvl w:val="0"/>
          <w:numId w:val="1"/>
        </w:numPr>
        <w:spacing w:after="38" w:line="317" w:lineRule="auto"/>
        <w:ind w:right="135" w:hanging="358"/>
        <w:jc w:val="both"/>
      </w:pPr>
      <w:r>
        <w:rPr>
          <w:rFonts w:ascii="Bodoni MT" w:eastAsia="Bodoni MT" w:hAnsi="Bodoni MT" w:cs="Bodoni MT"/>
          <w:sz w:val="18"/>
        </w:rPr>
        <w:t xml:space="preserve">van Gennip AH, Abeling NG, Stroomer AE, Overmars H, Bakker HD. The detection of molybdenum cofactor deficiency: Clinical symptomatology and urinary metabolite profile. </w:t>
      </w:r>
      <w:r>
        <w:rPr>
          <w:rFonts w:ascii="Bodoni MT" w:eastAsia="Bodoni MT" w:hAnsi="Bodoni MT" w:cs="Bodoni MT"/>
          <w:sz w:val="18"/>
        </w:rPr>
        <w:t xml:space="preserve">J Inherit Metab Dis 1994;17:142–145. </w:t>
      </w:r>
    </w:p>
    <w:p w:rsidR="004F6359" w:rsidRDefault="007E1424">
      <w:pPr>
        <w:numPr>
          <w:ilvl w:val="0"/>
          <w:numId w:val="1"/>
        </w:numPr>
        <w:spacing w:after="38" w:line="317" w:lineRule="auto"/>
        <w:ind w:right="135" w:hanging="358"/>
        <w:jc w:val="both"/>
      </w:pPr>
      <w:r>
        <w:rPr>
          <w:rFonts w:ascii="Bodoni MT" w:eastAsia="Bodoni MT" w:hAnsi="Bodoni MT" w:cs="Bodoni MT"/>
          <w:sz w:val="18"/>
        </w:rPr>
        <w:t xml:space="preserve">Kavukçu S, Soylu A, Sahin B, Türkmen M, Aydin A, Dirik E. Clinical quiz. Molybdenum cofactor deficiency Pediatr Nephrol 2000;14: 1145-1147. </w:t>
      </w:r>
    </w:p>
    <w:p w:rsidR="004F6359" w:rsidRDefault="007E1424">
      <w:pPr>
        <w:numPr>
          <w:ilvl w:val="0"/>
          <w:numId w:val="1"/>
        </w:numPr>
        <w:spacing w:after="38" w:line="317" w:lineRule="auto"/>
        <w:ind w:right="135" w:hanging="358"/>
        <w:jc w:val="both"/>
      </w:pPr>
      <w:r>
        <w:rPr>
          <w:rFonts w:ascii="Bodoni MT" w:eastAsia="Bodoni MT" w:hAnsi="Bodoni MT" w:cs="Bodoni MT"/>
          <w:sz w:val="18"/>
        </w:rPr>
        <w:t xml:space="preserve">Hernanz-Schulman M. Infantile hypertrophic pyloric stenosis. Radiology 2003; </w:t>
      </w:r>
      <w:r>
        <w:rPr>
          <w:rFonts w:ascii="Bodoni MT" w:eastAsia="Bodoni MT" w:hAnsi="Bodoni MT" w:cs="Bodoni MT"/>
          <w:sz w:val="18"/>
        </w:rPr>
        <w:t xml:space="preserve">227:319–331. </w:t>
      </w:r>
    </w:p>
    <w:p w:rsidR="004F6359" w:rsidRDefault="007E1424">
      <w:pPr>
        <w:numPr>
          <w:ilvl w:val="0"/>
          <w:numId w:val="1"/>
        </w:numPr>
        <w:spacing w:after="38" w:line="317" w:lineRule="auto"/>
        <w:ind w:right="135" w:hanging="358"/>
        <w:jc w:val="both"/>
      </w:pPr>
      <w:r>
        <w:rPr>
          <w:rFonts w:ascii="Bodoni MT" w:eastAsia="Bodoni MT" w:hAnsi="Bodoni MT" w:cs="Bodoni MT"/>
          <w:sz w:val="18"/>
        </w:rPr>
        <w:t xml:space="preserve">Parini R, Briscioli V, Caruso V, et al. Spherophakia associated with molybdenum cofactor deficiency. Am J Med Genet 1997;73:272–275. </w:t>
      </w:r>
    </w:p>
    <w:p w:rsidR="004F6359" w:rsidRDefault="007E1424">
      <w:pPr>
        <w:numPr>
          <w:ilvl w:val="0"/>
          <w:numId w:val="1"/>
        </w:numPr>
        <w:spacing w:after="38" w:line="317" w:lineRule="auto"/>
        <w:ind w:right="135" w:hanging="358"/>
        <w:jc w:val="both"/>
      </w:pPr>
      <w:r>
        <w:rPr>
          <w:rFonts w:ascii="Bodoni MT" w:eastAsia="Bodoni MT" w:hAnsi="Bodoni MT" w:cs="Bodoni MT"/>
          <w:sz w:val="18"/>
        </w:rPr>
        <w:t>Currie S, Gains C. A case of isolated sulfite oxidase deficiency and pyloric stenosis: coincidence or common</w:t>
      </w:r>
      <w:r>
        <w:rPr>
          <w:rFonts w:ascii="Bodoni MT" w:eastAsia="Bodoni MT" w:hAnsi="Bodoni MT" w:cs="Bodoni MT"/>
          <w:sz w:val="18"/>
        </w:rPr>
        <w:t xml:space="preserve"> etiology? J Ped Neurol 2009; 7: 181-186. </w:t>
      </w:r>
    </w:p>
    <w:p w:rsidR="004F6359" w:rsidRDefault="007E1424">
      <w:pPr>
        <w:numPr>
          <w:ilvl w:val="0"/>
          <w:numId w:val="1"/>
        </w:numPr>
        <w:spacing w:after="38" w:line="317" w:lineRule="auto"/>
        <w:ind w:right="135" w:hanging="358"/>
        <w:jc w:val="both"/>
      </w:pPr>
      <w:r>
        <w:rPr>
          <w:rFonts w:ascii="Bodoni MT" w:eastAsia="Bodoni MT" w:hAnsi="Bodoni MT" w:cs="Bodoni MT"/>
          <w:sz w:val="18"/>
        </w:rPr>
        <w:t xml:space="preserve">Malmfors G, Sundler F. Peptidergic innervation in infantile hypertrophic pyloric stenosis. J Pediatr Surg 1986; 21: 303-306. </w:t>
      </w:r>
    </w:p>
    <w:p w:rsidR="004F6359" w:rsidRDefault="007E1424">
      <w:pPr>
        <w:numPr>
          <w:ilvl w:val="0"/>
          <w:numId w:val="1"/>
        </w:numPr>
        <w:spacing w:after="38" w:line="317" w:lineRule="auto"/>
        <w:ind w:right="135" w:hanging="358"/>
        <w:jc w:val="both"/>
      </w:pPr>
      <w:r>
        <w:rPr>
          <w:rFonts w:ascii="Bodoni MT" w:eastAsia="Bodoni MT" w:hAnsi="Bodoni MT" w:cs="Bodoni MT"/>
          <w:sz w:val="18"/>
        </w:rPr>
        <w:t xml:space="preserve">Vanderwinden JM, Mailleux P, Schiffmann SN, Vanderhaeghen JJ, De Laet MH. Nitric oxide </w:t>
      </w:r>
      <w:r>
        <w:rPr>
          <w:rFonts w:ascii="Bodoni MT" w:eastAsia="Bodoni MT" w:hAnsi="Bodoni MT" w:cs="Bodoni MT"/>
          <w:sz w:val="18"/>
        </w:rPr>
        <w:t xml:space="preserve">synthase activity in infantile hypertrophic pyloric stenosis. N Engl J Med 1992;327: 511–515. </w:t>
      </w:r>
    </w:p>
    <w:p w:rsidR="004F6359" w:rsidRDefault="007E1424">
      <w:pPr>
        <w:numPr>
          <w:ilvl w:val="0"/>
          <w:numId w:val="1"/>
        </w:numPr>
        <w:spacing w:after="38" w:line="317" w:lineRule="auto"/>
        <w:ind w:right="135" w:hanging="358"/>
        <w:jc w:val="both"/>
      </w:pPr>
      <w:r>
        <w:rPr>
          <w:rFonts w:ascii="Bodoni MT" w:eastAsia="Bodoni MT" w:hAnsi="Bodoni MT" w:cs="Bodoni MT"/>
          <w:sz w:val="18"/>
        </w:rPr>
        <w:t xml:space="preserve">Olney JW, Misra CH, de Gubareff T. Cysteine-S-sulphate. Brain damaging metabolite in sulfite oxidase deficiency. J Neuropathol Exp Neurol 1975;34:167–177. </w:t>
      </w:r>
    </w:p>
    <w:p w:rsidR="004F6359" w:rsidRDefault="007E1424">
      <w:pPr>
        <w:numPr>
          <w:ilvl w:val="0"/>
          <w:numId w:val="1"/>
        </w:numPr>
        <w:spacing w:after="38" w:line="317" w:lineRule="auto"/>
        <w:ind w:right="135" w:hanging="358"/>
        <w:jc w:val="both"/>
      </w:pPr>
      <w:r>
        <w:rPr>
          <w:rFonts w:ascii="Bodoni MT" w:eastAsia="Bodoni MT" w:hAnsi="Bodoni MT" w:cs="Bodoni MT"/>
          <w:sz w:val="18"/>
        </w:rPr>
        <w:t>Tan W</w:t>
      </w:r>
      <w:r>
        <w:rPr>
          <w:rFonts w:ascii="Bodoni MT" w:eastAsia="Bodoni MT" w:hAnsi="Bodoni MT" w:cs="Bodoni MT"/>
          <w:sz w:val="18"/>
        </w:rPr>
        <w:t xml:space="preserve">H, Eichler FS, Hoda S, et al. Isolated sulfite oxidase deficiency: a case report with a novel mutation and review of the literature. Pediatrics 2005;116:757–766. </w:t>
      </w:r>
    </w:p>
    <w:p w:rsidR="004F6359" w:rsidRDefault="007E1424">
      <w:pPr>
        <w:numPr>
          <w:ilvl w:val="0"/>
          <w:numId w:val="1"/>
        </w:numPr>
        <w:spacing w:after="38" w:line="317" w:lineRule="auto"/>
        <w:ind w:right="135" w:hanging="358"/>
        <w:jc w:val="both"/>
      </w:pPr>
      <w:r>
        <w:rPr>
          <w:rFonts w:ascii="Bodoni MT" w:eastAsia="Bodoni MT" w:hAnsi="Bodoni MT" w:cs="Bodoni MT"/>
          <w:sz w:val="18"/>
        </w:rPr>
        <w:t>Oue T, Puri P. Smooth muscle cell hypertrophy versus hyperplasia in infantile hypertrophic py</w:t>
      </w:r>
      <w:r>
        <w:rPr>
          <w:rFonts w:ascii="Bodoni MT" w:eastAsia="Bodoni MT" w:hAnsi="Bodoni MT" w:cs="Bodoni MT"/>
          <w:sz w:val="18"/>
        </w:rPr>
        <w:t xml:space="preserve">loric stenosis. Pediatr Res 1999;45: 853–837. </w:t>
      </w:r>
    </w:p>
    <w:p w:rsidR="004F6359" w:rsidRDefault="007E1424">
      <w:pPr>
        <w:numPr>
          <w:ilvl w:val="0"/>
          <w:numId w:val="1"/>
        </w:numPr>
        <w:spacing w:after="38"/>
        <w:ind w:right="135" w:hanging="358"/>
        <w:jc w:val="both"/>
      </w:pPr>
      <w:r>
        <w:rPr>
          <w:rFonts w:ascii="Bodoni MT" w:eastAsia="Bodoni MT" w:hAnsi="Bodoni MT" w:cs="Bodoni MT"/>
          <w:sz w:val="18"/>
        </w:rPr>
        <w:t xml:space="preserve">Zhang Z, Naughton D, Winyard PG, Benjamin N, Blake </w:t>
      </w:r>
    </w:p>
    <w:p w:rsidR="004F6359" w:rsidRDefault="004F6359">
      <w:pPr>
        <w:sectPr w:rsidR="004F6359">
          <w:type w:val="continuous"/>
          <w:pgSz w:w="11904" w:h="16840"/>
          <w:pgMar w:top="1440" w:right="983" w:bottom="1440" w:left="1134" w:header="708" w:footer="708" w:gutter="0"/>
          <w:cols w:num="2" w:space="240"/>
        </w:sectPr>
      </w:pPr>
    </w:p>
    <w:p w:rsidR="004F6359" w:rsidRDefault="007E1424">
      <w:pPr>
        <w:tabs>
          <w:tab w:val="center" w:pos="3085"/>
        </w:tabs>
        <w:spacing w:after="555" w:line="265" w:lineRule="auto"/>
        <w:ind w:left="-15"/>
      </w:pPr>
      <w:r>
        <w:rPr>
          <w:rFonts w:ascii="Times New Roman" w:eastAsia="Times New Roman" w:hAnsi="Times New Roman" w:cs="Times New Roman"/>
          <w:b/>
          <w:sz w:val="31"/>
          <w:vertAlign w:val="subscript"/>
        </w:rPr>
        <w:t>140</w:t>
      </w:r>
      <w:r>
        <w:rPr>
          <w:rFonts w:ascii="Times New Roman" w:eastAsia="Times New Roman" w:hAnsi="Times New Roman" w:cs="Times New Roman"/>
          <w:b/>
          <w:sz w:val="31"/>
          <w:vertAlign w:val="subscript"/>
        </w:rPr>
        <w:tab/>
      </w:r>
      <w:r>
        <w:rPr>
          <w:rFonts w:ascii="Arial" w:eastAsia="Arial" w:hAnsi="Arial" w:cs="Arial"/>
          <w:sz w:val="17"/>
        </w:rPr>
        <w:t xml:space="preserve">May there be a link between  molybdenum cofactor deficiensy and pyloric stenosis </w:t>
      </w:r>
    </w:p>
    <w:p w:rsidR="004F6359" w:rsidRDefault="007E1424">
      <w:pPr>
        <w:spacing w:after="6" w:line="317" w:lineRule="auto"/>
        <w:ind w:left="358"/>
        <w:jc w:val="both"/>
      </w:pPr>
      <w:r>
        <w:rPr>
          <w:rFonts w:ascii="Bodoni MT" w:eastAsia="Bodoni MT" w:hAnsi="Bodoni MT" w:cs="Bodoni MT"/>
          <w:sz w:val="18"/>
        </w:rPr>
        <w:lastRenderedPageBreak/>
        <w:t>DR, Symons MC. Generation of nitric oxide by a nitr</w:t>
      </w:r>
      <w:r>
        <w:rPr>
          <w:rFonts w:ascii="Bodoni MT" w:eastAsia="Bodoni MT" w:hAnsi="Bodoni MT" w:cs="Bodoni MT"/>
          <w:sz w:val="18"/>
        </w:rPr>
        <w:t xml:space="preserve">ite oxide synthase activity. Biochem Biophys Res Commun reductase activity of xanthine oxidase: a potential path- 1998;249: 767–772. way for nitric oxide formation in the absence of nitric </w:t>
      </w:r>
    </w:p>
    <w:p w:rsidR="004F6359" w:rsidRDefault="007E1424">
      <w:pPr>
        <w:spacing w:after="254"/>
      </w:pPr>
      <w:r>
        <w:rPr>
          <w:rFonts w:ascii="Times New Roman" w:eastAsia="Times New Roman" w:hAnsi="Times New Roman" w:cs="Times New Roman"/>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b/>
          <w:sz w:val="24"/>
        </w:rPr>
        <w:t xml:space="preserve"> </w:t>
      </w:r>
    </w:p>
    <w:p w:rsidR="004F6359" w:rsidRDefault="007E1424">
      <w:pPr>
        <w:spacing w:after="250"/>
      </w:pPr>
      <w:r>
        <w:rPr>
          <w:rFonts w:ascii="Times New Roman" w:eastAsia="Times New Roman" w:hAnsi="Times New Roman" w:cs="Times New Roman"/>
          <w:b/>
          <w:sz w:val="24"/>
        </w:rPr>
        <w:t xml:space="preserve"> </w:t>
      </w:r>
    </w:p>
    <w:p w:rsidR="004F6359" w:rsidRDefault="007E1424">
      <w:pPr>
        <w:spacing w:after="249"/>
      </w:pPr>
      <w:r>
        <w:rPr>
          <w:rFonts w:ascii="Times New Roman" w:eastAsia="Times New Roman" w:hAnsi="Times New Roman" w:cs="Times New Roman"/>
          <w:b/>
          <w:sz w:val="24"/>
        </w:rPr>
        <w:t xml:space="preserve"> </w:t>
      </w:r>
    </w:p>
    <w:p w:rsidR="004F6359" w:rsidRDefault="007E1424">
      <w:pPr>
        <w:spacing w:after="252"/>
      </w:pPr>
      <w:r>
        <w:rPr>
          <w:rFonts w:ascii="Times New Roman" w:eastAsia="Times New Roman" w:hAnsi="Times New Roman" w:cs="Times New Roman"/>
          <w:sz w:val="24"/>
        </w:rPr>
        <w:t xml:space="preserve"> </w:t>
      </w:r>
    </w:p>
    <w:p w:rsidR="004F6359" w:rsidRDefault="007E1424">
      <w:pPr>
        <w:spacing w:after="252"/>
      </w:pPr>
      <w:r>
        <w:rPr>
          <w:rFonts w:ascii="Times New Roman" w:eastAsia="Times New Roman" w:hAnsi="Times New Roman" w:cs="Times New Roman"/>
          <w:sz w:val="24"/>
        </w:rPr>
        <w:t xml:space="preserve"> </w:t>
      </w:r>
    </w:p>
    <w:p w:rsidR="004F6359" w:rsidRDefault="007E1424">
      <w:pPr>
        <w:spacing w:after="0"/>
      </w:pPr>
      <w:r>
        <w:rPr>
          <w:rFonts w:ascii="Times New Roman" w:eastAsia="Times New Roman" w:hAnsi="Times New Roman" w:cs="Times New Roman"/>
          <w:sz w:val="24"/>
        </w:rPr>
        <w:t xml:space="preserve"> </w:t>
      </w:r>
    </w:p>
    <w:sectPr w:rsidR="004F6359">
      <w:type w:val="continuous"/>
      <w:pgSz w:w="11904" w:h="16840"/>
      <w:pgMar w:top="1440" w:right="1133"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0638"/>
    <w:multiLevelType w:val="hybridMultilevel"/>
    <w:tmpl w:val="60925EE4"/>
    <w:lvl w:ilvl="0" w:tplc="EA123A68">
      <w:start w:val="1"/>
      <w:numFmt w:val="decimal"/>
      <w:lvlText w:val="%1."/>
      <w:lvlJc w:val="left"/>
      <w:pPr>
        <w:ind w:left="358"/>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1" w:tplc="25D6C8C4">
      <w:start w:val="1"/>
      <w:numFmt w:val="lowerLetter"/>
      <w:lvlText w:val="%2"/>
      <w:lvlJc w:val="left"/>
      <w:pPr>
        <w:ind w:left="108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2" w:tplc="A3EE58D4">
      <w:start w:val="1"/>
      <w:numFmt w:val="lowerRoman"/>
      <w:lvlText w:val="%3"/>
      <w:lvlJc w:val="left"/>
      <w:pPr>
        <w:ind w:left="180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3" w:tplc="2A5EA3BC">
      <w:start w:val="1"/>
      <w:numFmt w:val="decimal"/>
      <w:lvlText w:val="%4"/>
      <w:lvlJc w:val="left"/>
      <w:pPr>
        <w:ind w:left="252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4" w:tplc="DDB86F10">
      <w:start w:val="1"/>
      <w:numFmt w:val="lowerLetter"/>
      <w:lvlText w:val="%5"/>
      <w:lvlJc w:val="left"/>
      <w:pPr>
        <w:ind w:left="324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5" w:tplc="109A2118">
      <w:start w:val="1"/>
      <w:numFmt w:val="lowerRoman"/>
      <w:lvlText w:val="%6"/>
      <w:lvlJc w:val="left"/>
      <w:pPr>
        <w:ind w:left="396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6" w:tplc="EF4CC07A">
      <w:start w:val="1"/>
      <w:numFmt w:val="decimal"/>
      <w:lvlText w:val="%7"/>
      <w:lvlJc w:val="left"/>
      <w:pPr>
        <w:ind w:left="468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7" w:tplc="9D1003D0">
      <w:start w:val="1"/>
      <w:numFmt w:val="lowerLetter"/>
      <w:lvlText w:val="%8"/>
      <w:lvlJc w:val="left"/>
      <w:pPr>
        <w:ind w:left="540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8" w:tplc="B3CAE1D0">
      <w:start w:val="1"/>
      <w:numFmt w:val="lowerRoman"/>
      <w:lvlText w:val="%9"/>
      <w:lvlJc w:val="left"/>
      <w:pPr>
        <w:ind w:left="612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59"/>
    <w:rsid w:val="004F6359"/>
    <w:rsid w:val="007E1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B5719-E873-4BD8-9F4E-503167C3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138"/>
      <w:ind w:left="295" w:hanging="10"/>
      <w:outlineLvl w:val="0"/>
    </w:pPr>
    <w:rPr>
      <w:rFonts w:ascii="Palatino Linotype" w:eastAsia="Palatino Linotype" w:hAnsi="Palatino Linotype" w:cs="Palatino Linotype"/>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Palatino Linotype" w:eastAsia="Palatino Linotype" w:hAnsi="Palatino Linotype" w:cs="Palatino Linotype"/>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DEUTFD-57442__1__DEUTFD-57442_Review_DEUTFD-u.yiş.doc</dc:title>
  <dc:subject/>
  <dc:creator>azize.calim</dc:creator>
  <cp:keywords/>
  <cp:lastModifiedBy>Müjde Uzhan</cp:lastModifiedBy>
  <cp:revision>2</cp:revision>
  <dcterms:created xsi:type="dcterms:W3CDTF">2017-06-14T13:07:00Z</dcterms:created>
  <dcterms:modified xsi:type="dcterms:W3CDTF">2017-06-14T13:07:00Z</dcterms:modified>
</cp:coreProperties>
</file>