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7591" w:rsidRDefault="004A07C1">
      <w:pPr>
        <w:spacing w:after="188"/>
        <w:ind w:right="-138"/>
        <w:jc w:val="right"/>
      </w:pPr>
      <w:r>
        <w:rPr>
          <w:noProof/>
        </w:rPr>
        <mc:AlternateContent>
          <mc:Choice Requires="wpg">
            <w:drawing>
              <wp:inline distT="0" distB="0" distL="0" distR="0">
                <wp:extent cx="1800606" cy="19050"/>
                <wp:effectExtent l="0" t="0" r="0" b="0"/>
                <wp:docPr id="29819" name="Group 29819"/>
                <wp:cNvGraphicFramePr/>
                <a:graphic xmlns:a="http://schemas.openxmlformats.org/drawingml/2006/main">
                  <a:graphicData uri="http://schemas.microsoft.com/office/word/2010/wordprocessingGroup">
                    <wpg:wgp>
                      <wpg:cNvGrpSpPr/>
                      <wpg:grpSpPr>
                        <a:xfrm>
                          <a:off x="0" y="0"/>
                          <a:ext cx="1800606" cy="19050"/>
                          <a:chOff x="0" y="0"/>
                          <a:chExt cx="1800606" cy="19050"/>
                        </a:xfrm>
                      </wpg:grpSpPr>
                      <wps:wsp>
                        <wps:cNvPr id="39" name="Shape 39"/>
                        <wps:cNvSpPr/>
                        <wps:spPr>
                          <a:xfrm>
                            <a:off x="0" y="0"/>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19" style="width:141.78pt;height:1.5pt;mso-position-horizontal-relative:char;mso-position-vertical-relative:line" coordsize="18006,190">
                <v:shape id="Shape 39" style="position:absolute;width:18006;height:0;left:0;top:0;" coordsize="1800606,0" path="m0,0l1800606,0">
                  <v:stroke weight="1.5pt" endcap="flat" joinstyle="round" on="true" color="#666699"/>
                  <v:fill on="false" color="#000000" opacity="0"/>
                </v:shape>
              </v:group>
            </w:pict>
          </mc:Fallback>
        </mc:AlternateContent>
      </w:r>
      <w:r>
        <w:rPr>
          <w:rFonts w:ascii="Times New Roman" w:eastAsia="Times New Roman" w:hAnsi="Times New Roman" w:cs="Times New Roman"/>
          <w:b/>
          <w:color w:val="656599"/>
          <w:sz w:val="20"/>
        </w:rPr>
        <w:t xml:space="preserve"> </w:t>
      </w:r>
    </w:p>
    <w:p w:rsidR="00F77591" w:rsidRDefault="004A07C1">
      <w:pPr>
        <w:spacing w:after="0"/>
        <w:jc w:val="right"/>
      </w:pPr>
      <w:r>
        <w:rPr>
          <w:rFonts w:ascii="Times New Roman" w:eastAsia="Times New Roman" w:hAnsi="Times New Roman" w:cs="Times New Roman"/>
          <w:b/>
          <w:color w:val="656599"/>
          <w:sz w:val="40"/>
        </w:rPr>
        <w:t xml:space="preserve">Araştırma </w:t>
      </w:r>
      <w:r>
        <w:rPr>
          <w:sz w:val="34"/>
          <w:vertAlign w:val="subscript"/>
        </w:rPr>
        <w:t xml:space="preserve"> </w:t>
      </w:r>
    </w:p>
    <w:p w:rsidR="00F77591" w:rsidRDefault="004A07C1">
      <w:pPr>
        <w:spacing w:after="47"/>
        <w:ind w:left="6830" w:right="-139"/>
      </w:pPr>
      <w:r>
        <w:rPr>
          <w:noProof/>
        </w:rPr>
        <mc:AlternateContent>
          <mc:Choice Requires="wpg">
            <w:drawing>
              <wp:inline distT="0" distB="0" distL="0" distR="0">
                <wp:extent cx="1810512" cy="9144"/>
                <wp:effectExtent l="0" t="0" r="0" b="0"/>
                <wp:docPr id="29818" name="Group 29818"/>
                <wp:cNvGraphicFramePr/>
                <a:graphic xmlns:a="http://schemas.openxmlformats.org/drawingml/2006/main">
                  <a:graphicData uri="http://schemas.microsoft.com/office/word/2010/wordprocessingGroup">
                    <wpg:wgp>
                      <wpg:cNvGrpSpPr/>
                      <wpg:grpSpPr>
                        <a:xfrm>
                          <a:off x="0" y="0"/>
                          <a:ext cx="1810512" cy="9144"/>
                          <a:chOff x="0" y="0"/>
                          <a:chExt cx="1810512" cy="9144"/>
                        </a:xfrm>
                      </wpg:grpSpPr>
                      <wps:wsp>
                        <wps:cNvPr id="38" name="Shape 38"/>
                        <wps:cNvSpPr/>
                        <wps:spPr>
                          <a:xfrm>
                            <a:off x="0" y="9144"/>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s:wsp>
                        <wps:cNvPr id="40" name="Shape 40"/>
                        <wps:cNvSpPr/>
                        <wps:spPr>
                          <a:xfrm>
                            <a:off x="10668" y="0"/>
                            <a:ext cx="1799844" cy="0"/>
                          </a:xfrm>
                          <a:custGeom>
                            <a:avLst/>
                            <a:gdLst/>
                            <a:ahLst/>
                            <a:cxnLst/>
                            <a:rect l="0" t="0" r="0" b="0"/>
                            <a:pathLst>
                              <a:path w="1799844">
                                <a:moveTo>
                                  <a:pt x="0" y="0"/>
                                </a:moveTo>
                                <a:lnTo>
                                  <a:pt x="1799844"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18" style="width:142.56pt;height:0.720032pt;mso-position-horizontal-relative:char;mso-position-vertical-relative:line" coordsize="18105,91">
                <v:shape id="Shape 38" style="position:absolute;width:18006;height:0;left:0;top:91;" coordsize="1800606,0" path="m0,0l1800606,0">
                  <v:stroke weight="1.5pt" endcap="flat" joinstyle="round" on="true" color="#666699"/>
                  <v:fill on="false" color="#000000" opacity="0"/>
                </v:shape>
                <v:shape id="Shape 40" style="position:absolute;width:17998;height:0;left:106;top:0;" coordsize="1799844,0" path="m0,0l1799844,0">
                  <v:stroke weight="1.5pt" endcap="flat" joinstyle="round" on="true" color="#666699"/>
                  <v:fill on="false" color="#000000" opacity="0"/>
                </v:shape>
              </v:group>
            </w:pict>
          </mc:Fallback>
        </mc:AlternateContent>
      </w:r>
    </w:p>
    <w:p w:rsidR="00F77591" w:rsidRDefault="004A07C1">
      <w:pPr>
        <w:spacing w:after="0"/>
      </w:pPr>
      <w:r>
        <w:rPr>
          <w:rFonts w:ascii="Arial" w:eastAsia="Arial" w:hAnsi="Arial" w:cs="Arial"/>
          <w:b/>
          <w:sz w:val="48"/>
        </w:rPr>
        <w:t xml:space="preserve"> </w:t>
      </w:r>
    </w:p>
    <w:p w:rsidR="00F77591" w:rsidRDefault="004A07C1">
      <w:pPr>
        <w:spacing w:after="216"/>
      </w:pPr>
      <w:r>
        <w:rPr>
          <w:rFonts w:ascii="Arial" w:eastAsia="Arial" w:hAnsi="Arial" w:cs="Arial"/>
          <w:b/>
          <w:sz w:val="20"/>
        </w:rPr>
        <w:t xml:space="preserve"> </w:t>
      </w:r>
    </w:p>
    <w:p w:rsidR="00F77591" w:rsidRDefault="004A07C1">
      <w:pPr>
        <w:spacing w:after="478"/>
      </w:pPr>
      <w:r>
        <w:rPr>
          <w:rFonts w:ascii="Arial" w:eastAsia="Arial" w:hAnsi="Arial" w:cs="Arial"/>
          <w:b/>
          <w:sz w:val="20"/>
        </w:rPr>
        <w:t xml:space="preserve"> </w:t>
      </w:r>
    </w:p>
    <w:p w:rsidR="00F77591" w:rsidRDefault="004A07C1">
      <w:pPr>
        <w:spacing w:after="0" w:line="216" w:lineRule="auto"/>
      </w:pPr>
      <w:r>
        <w:rPr>
          <w:rFonts w:ascii="Arial" w:eastAsia="Arial" w:hAnsi="Arial" w:cs="Arial"/>
          <w:b/>
          <w:sz w:val="48"/>
        </w:rPr>
        <w:t>İnsan Servikal Kanser Hela Hücrelerinde Vinorelbin’in Apoptotik Etkisi</w:t>
      </w:r>
      <w:r>
        <w:rPr>
          <w:rFonts w:ascii="Segoe UI Symbol" w:eastAsia="Segoe UI Symbol" w:hAnsi="Segoe UI Symbol" w:cs="Segoe UI Symbol"/>
          <w:sz w:val="48"/>
          <w:vertAlign w:val="superscript"/>
        </w:rPr>
        <w:t></w:t>
      </w:r>
      <w:r>
        <w:rPr>
          <w:rFonts w:ascii="Arial" w:eastAsia="Arial" w:hAnsi="Arial" w:cs="Arial"/>
          <w:b/>
          <w:sz w:val="48"/>
        </w:rPr>
        <w:t xml:space="preserve"> </w:t>
      </w:r>
    </w:p>
    <w:p w:rsidR="00F77591" w:rsidRDefault="004A07C1">
      <w:pPr>
        <w:spacing w:after="89" w:line="217" w:lineRule="auto"/>
        <w:ind w:right="951"/>
      </w:pPr>
      <w:r>
        <w:rPr>
          <w:rFonts w:ascii="Times New Roman" w:eastAsia="Times New Roman" w:hAnsi="Times New Roman" w:cs="Times New Roman"/>
        </w:rPr>
        <w:t xml:space="preserve">APOPTOTIC EFFECT OF VINORELBINE ON HUMAN SERVICAL CANCER HeLa CELLS </w:t>
      </w:r>
      <w:r>
        <w:rPr>
          <w:rFonts w:ascii="Arial" w:eastAsia="Arial" w:hAnsi="Arial" w:cs="Arial"/>
          <w:b/>
          <w:sz w:val="48"/>
        </w:rPr>
        <w:t xml:space="preserve"> </w:t>
      </w:r>
    </w:p>
    <w:p w:rsidR="00F77591" w:rsidRDefault="004A07C1">
      <w:pPr>
        <w:spacing w:after="0"/>
      </w:pPr>
      <w:r>
        <w:rPr>
          <w:rFonts w:ascii="Times New Roman" w:eastAsia="Times New Roman" w:hAnsi="Times New Roman" w:cs="Times New Roman"/>
          <w:b/>
        </w:rPr>
        <w:t xml:space="preserve">Özlem GÖKÇE, Akın YILMAZ, Venhar GÜRBÜZ, Ece KONAÇ, Abdullah EKMEKÇİ </w:t>
      </w:r>
    </w:p>
    <w:p w:rsidR="00F77591" w:rsidRDefault="004A07C1">
      <w:pPr>
        <w:spacing w:after="0"/>
      </w:pPr>
      <w:r>
        <w:rPr>
          <w:rFonts w:ascii="Times New Roman" w:eastAsia="Times New Roman" w:hAnsi="Times New Roman" w:cs="Times New Roman"/>
          <w:b/>
        </w:rPr>
        <w:t xml:space="preserve"> </w:t>
      </w:r>
    </w:p>
    <w:p w:rsidR="00F77591" w:rsidRDefault="004A07C1">
      <w:pPr>
        <w:spacing w:after="0"/>
      </w:pPr>
      <w:r>
        <w:rPr>
          <w:rFonts w:ascii="Arial" w:eastAsia="Arial" w:hAnsi="Arial" w:cs="Arial"/>
          <w:i/>
          <w:sz w:val="17"/>
        </w:rPr>
        <w:t xml:space="preserve">Gazi Üniversitesi, Tıp Fakültesi, Tıbbi Biyoloji ve Genetik Anabilim Dalı </w:t>
      </w:r>
    </w:p>
    <w:p w:rsidR="00F77591" w:rsidRDefault="00F77591">
      <w:pPr>
        <w:sectPr w:rsidR="00F77591">
          <w:headerReference w:type="even" r:id="rId7"/>
          <w:headerReference w:type="default" r:id="rId8"/>
          <w:headerReference w:type="first" r:id="rId9"/>
          <w:pgSz w:w="11904" w:h="16840"/>
          <w:pgMar w:top="1469" w:right="1228" w:bottom="1442" w:left="1134" w:header="1447" w:footer="708" w:gutter="0"/>
          <w:pgNumType w:start="5"/>
          <w:cols w:space="708"/>
          <w:titlePg/>
        </w:sectPr>
      </w:pPr>
    </w:p>
    <w:p w:rsidR="00F77591" w:rsidRDefault="004A07C1">
      <w:pPr>
        <w:spacing w:after="10"/>
      </w:pPr>
      <w:r>
        <w:rPr>
          <w:rFonts w:ascii="Times New Roman" w:eastAsia="Times New Roman" w:hAnsi="Times New Roman" w:cs="Times New Roman"/>
          <w:sz w:val="10"/>
        </w:rPr>
        <w:t xml:space="preserve"> </w:t>
      </w:r>
    </w:p>
    <w:p w:rsidR="00F77591" w:rsidRDefault="004A07C1">
      <w:pPr>
        <w:spacing w:after="95"/>
      </w:pPr>
      <w:r>
        <w:rPr>
          <w:rFonts w:ascii="Arial" w:eastAsia="Arial" w:hAnsi="Arial" w:cs="Arial"/>
          <w:b/>
          <w:sz w:val="10"/>
        </w:rPr>
        <w:t xml:space="preserve"> </w:t>
      </w:r>
    </w:p>
    <w:p w:rsidR="00F77591" w:rsidRDefault="004A07C1">
      <w:pPr>
        <w:spacing w:after="27"/>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7"/>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7"/>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7"/>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7"/>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7"/>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spacing w:after="28"/>
      </w:pPr>
      <w:r>
        <w:rPr>
          <w:rFonts w:ascii="Arial" w:eastAsia="Arial" w:hAnsi="Arial" w:cs="Arial"/>
          <w:b/>
          <w:sz w:val="17"/>
        </w:rPr>
        <w:t xml:space="preserve"> </w:t>
      </w:r>
    </w:p>
    <w:p w:rsidR="00F77591" w:rsidRDefault="004A07C1">
      <w:pPr>
        <w:pStyle w:val="Balk1"/>
        <w:spacing w:after="5"/>
        <w:ind w:left="-5"/>
      </w:pPr>
      <w:r>
        <w:rPr>
          <w:rFonts w:ascii="Arial" w:eastAsia="Arial" w:hAnsi="Arial" w:cs="Arial"/>
          <w:sz w:val="17"/>
        </w:rPr>
        <w:t xml:space="preserve">Ece KONAÇ </w:t>
      </w:r>
    </w:p>
    <w:p w:rsidR="00F77591" w:rsidRDefault="004A07C1">
      <w:pPr>
        <w:spacing w:after="4" w:line="249" w:lineRule="auto"/>
        <w:ind w:left="3" w:hanging="10"/>
        <w:jc w:val="both"/>
      </w:pPr>
      <w:r>
        <w:rPr>
          <w:rFonts w:ascii="Book Antiqua" w:eastAsia="Book Antiqua" w:hAnsi="Book Antiqua" w:cs="Book Antiqua"/>
          <w:sz w:val="17"/>
        </w:rPr>
        <w:t xml:space="preserve">Gazi Üniversitesi </w:t>
      </w:r>
    </w:p>
    <w:p w:rsidR="00F77591" w:rsidRDefault="004A07C1">
      <w:pPr>
        <w:spacing w:after="4" w:line="249" w:lineRule="auto"/>
        <w:ind w:left="3" w:hanging="10"/>
        <w:jc w:val="both"/>
      </w:pPr>
      <w:r>
        <w:rPr>
          <w:rFonts w:ascii="Book Antiqua" w:eastAsia="Book Antiqua" w:hAnsi="Book Antiqua" w:cs="Book Antiqua"/>
          <w:sz w:val="17"/>
        </w:rPr>
        <w:t xml:space="preserve">Tıp Fakültesi </w:t>
      </w:r>
    </w:p>
    <w:p w:rsidR="00F77591" w:rsidRDefault="004A07C1">
      <w:pPr>
        <w:spacing w:after="4" w:line="249" w:lineRule="auto"/>
        <w:ind w:left="3" w:hanging="10"/>
        <w:jc w:val="both"/>
      </w:pPr>
      <w:r>
        <w:rPr>
          <w:rFonts w:ascii="Book Antiqua" w:eastAsia="Book Antiqua" w:hAnsi="Book Antiqua" w:cs="Book Antiqua"/>
          <w:sz w:val="17"/>
        </w:rPr>
        <w:t xml:space="preserve">Tıbbi Biyoloji ve Genetik AD </w:t>
      </w:r>
    </w:p>
    <w:p w:rsidR="00F77591" w:rsidRDefault="004A07C1">
      <w:pPr>
        <w:spacing w:after="4" w:line="249" w:lineRule="auto"/>
        <w:ind w:left="3" w:hanging="10"/>
        <w:jc w:val="both"/>
      </w:pPr>
      <w:r>
        <w:rPr>
          <w:rFonts w:ascii="Book Antiqua" w:eastAsia="Book Antiqua" w:hAnsi="Book Antiqua" w:cs="Book Antiqua"/>
          <w:sz w:val="17"/>
        </w:rPr>
        <w:t xml:space="preserve">06500, ANKARA </w:t>
      </w:r>
    </w:p>
    <w:p w:rsidR="00F77591" w:rsidRDefault="004A07C1">
      <w:pPr>
        <w:pStyle w:val="Balk1"/>
        <w:spacing w:after="5"/>
        <w:ind w:left="-5"/>
      </w:pPr>
      <w:r>
        <w:rPr>
          <w:rFonts w:ascii="Arial" w:eastAsia="Arial" w:hAnsi="Arial" w:cs="Arial"/>
          <w:sz w:val="17"/>
        </w:rPr>
        <w:t xml:space="preserve">ÖZET </w:t>
      </w:r>
    </w:p>
    <w:p w:rsidR="00F77591" w:rsidRDefault="004A07C1">
      <w:pPr>
        <w:spacing w:after="4" w:line="249" w:lineRule="auto"/>
        <w:ind w:left="3" w:hanging="10"/>
        <w:jc w:val="both"/>
      </w:pPr>
      <w:r>
        <w:rPr>
          <w:rFonts w:ascii="Book Antiqua" w:eastAsia="Book Antiqua" w:hAnsi="Book Antiqua" w:cs="Book Antiqua"/>
          <w:b/>
          <w:sz w:val="17"/>
        </w:rPr>
        <w:t>Amaç:</w:t>
      </w:r>
      <w:r>
        <w:rPr>
          <w:rFonts w:ascii="Book Antiqua" w:eastAsia="Book Antiqua" w:hAnsi="Book Antiqua" w:cs="Book Antiqua"/>
          <w:sz w:val="17"/>
        </w:rPr>
        <w:t xml:space="preserve"> Hücre hareketi, hücre bölünmesi, hücre içi madde taşınması, hücresel yapının sağlanması gibi biyolojik işlevlerde rol alan mikrotübüller, antikanser ilaçların esas hedefi konumundadır. Vinorelbin’in (Navelbin) mikrotübüller üzerinden etki gösteren molekül</w:t>
      </w:r>
      <w:r>
        <w:rPr>
          <w:rFonts w:ascii="Book Antiqua" w:eastAsia="Book Antiqua" w:hAnsi="Book Antiqua" w:cs="Book Antiqua"/>
          <w:sz w:val="17"/>
        </w:rPr>
        <w:t>lerden birisidir ve çeşitli kanserlerde kemoterapötik ajan olarak kullanılmaktadır. Çalışmamızda, insan serviks kanser hücre hattı olan HeLa hücrelerine, 24 saat 5-100µM doz aralığında vinorelbin uygulaması sonunda hücrelerdeki olası apoptotik etkisini bel</w:t>
      </w:r>
      <w:r>
        <w:rPr>
          <w:rFonts w:ascii="Book Antiqua" w:eastAsia="Book Antiqua" w:hAnsi="Book Antiqua" w:cs="Book Antiqua"/>
          <w:sz w:val="17"/>
        </w:rPr>
        <w:t xml:space="preserve">irlemeyi amaçladık.  </w:t>
      </w:r>
    </w:p>
    <w:p w:rsidR="00F77591" w:rsidRDefault="004A07C1">
      <w:pPr>
        <w:spacing w:after="4" w:line="249" w:lineRule="auto"/>
        <w:ind w:left="3" w:hanging="10"/>
        <w:jc w:val="both"/>
      </w:pPr>
      <w:r>
        <w:rPr>
          <w:rFonts w:ascii="Book Antiqua" w:eastAsia="Book Antiqua" w:hAnsi="Book Antiqua" w:cs="Book Antiqua"/>
          <w:b/>
          <w:sz w:val="17"/>
        </w:rPr>
        <w:t>Gereç ve yöntem:</w:t>
      </w:r>
      <w:r>
        <w:rPr>
          <w:rFonts w:ascii="Book Antiqua" w:eastAsia="Book Antiqua" w:hAnsi="Book Antiqua" w:cs="Book Antiqua"/>
          <w:sz w:val="17"/>
        </w:rPr>
        <w:t xml:space="preserve"> Vinorelbin uygulanan HeLa hücrelerinde hücre canlılığı ve apoptotik oranları belirlemek için sırasıyla XTT canlılık analizi ve floresan mikroskobunda hücrelerin karakteristik morfolojisi değerlendirildi. Vinorelbin uy</w:t>
      </w:r>
      <w:r>
        <w:rPr>
          <w:rFonts w:ascii="Book Antiqua" w:eastAsia="Book Antiqua" w:hAnsi="Book Antiqua" w:cs="Book Antiqua"/>
          <w:sz w:val="17"/>
        </w:rPr>
        <w:t xml:space="preserve">gulanan hücrelerde B hücresi lenfoma 2 (BCL2) ve Siklin D1 (CCND1) genlerinin mRNA ifade düzeyleri de araştırıldı. </w:t>
      </w:r>
    </w:p>
    <w:p w:rsidR="00F77591" w:rsidRDefault="004A07C1">
      <w:pPr>
        <w:spacing w:after="4" w:line="249" w:lineRule="auto"/>
        <w:ind w:left="3" w:hanging="10"/>
        <w:jc w:val="both"/>
      </w:pPr>
      <w:r>
        <w:rPr>
          <w:rFonts w:ascii="Book Antiqua" w:eastAsia="Book Antiqua" w:hAnsi="Book Antiqua" w:cs="Book Antiqua"/>
          <w:b/>
          <w:sz w:val="17"/>
        </w:rPr>
        <w:t>Bulgular:</w:t>
      </w:r>
      <w:r>
        <w:rPr>
          <w:rFonts w:ascii="Book Antiqua" w:eastAsia="Book Antiqua" w:hAnsi="Book Antiqua" w:cs="Book Antiqua"/>
          <w:sz w:val="17"/>
        </w:rPr>
        <w:t xml:space="preserve"> En yüksek vinorelbin konsantrasyonu olan 100μM’da hücre canlılığının 24 saat sonunda %60’ın altına düştüğü belirlendi. Apoptotik o</w:t>
      </w:r>
      <w:r>
        <w:rPr>
          <w:rFonts w:ascii="Book Antiqua" w:eastAsia="Book Antiqua" w:hAnsi="Book Antiqua" w:cs="Book Antiqua"/>
          <w:sz w:val="17"/>
        </w:rPr>
        <w:t>ranın %17,6 olduğu 40μM dozda aynı zamanda nekrotik oranın da 80 ve 100μM dozlara oranla oldukça az olması sebebiyle en etkili apoptotik doz olarak 40μM bulundu. Ayrıca 40μM vinorelbin uygulamasının anti-apoptotik özellikteki BCL2 ile proto-onkogen olan CC</w:t>
      </w:r>
      <w:r>
        <w:rPr>
          <w:rFonts w:ascii="Book Antiqua" w:eastAsia="Book Antiqua" w:hAnsi="Book Antiqua" w:cs="Book Antiqua"/>
          <w:sz w:val="17"/>
        </w:rPr>
        <w:t xml:space="preserve">ND1 genlerinin mRNA ifade edilme düzeylerinde azalmaya neden olduğu saptandı. </w:t>
      </w:r>
    </w:p>
    <w:p w:rsidR="00F77591" w:rsidRDefault="004A07C1">
      <w:pPr>
        <w:spacing w:after="4" w:line="249" w:lineRule="auto"/>
        <w:ind w:left="3" w:hanging="10"/>
        <w:jc w:val="both"/>
      </w:pPr>
      <w:r>
        <w:rPr>
          <w:rFonts w:ascii="Book Antiqua" w:eastAsia="Book Antiqua" w:hAnsi="Book Antiqua" w:cs="Book Antiqua"/>
          <w:b/>
          <w:sz w:val="17"/>
        </w:rPr>
        <w:t>Sonuç:</w:t>
      </w:r>
      <w:r>
        <w:rPr>
          <w:rFonts w:ascii="Book Antiqua" w:eastAsia="Book Antiqua" w:hAnsi="Book Antiqua" w:cs="Book Antiqua"/>
          <w:sz w:val="17"/>
        </w:rPr>
        <w:t xml:space="preserve"> Mikrotübül dinamiğini etkileyerek antikanser özellik gösteren vinorelbin’in moleküler düzeyde olası etki mekanizmalarının belirlenmesinin, kanser tedavisinde daha etkin y</w:t>
      </w:r>
      <w:r>
        <w:rPr>
          <w:rFonts w:ascii="Book Antiqua" w:eastAsia="Book Antiqua" w:hAnsi="Book Antiqua" w:cs="Book Antiqua"/>
          <w:sz w:val="17"/>
        </w:rPr>
        <w:t xml:space="preserve">aklaşımların ortaya çıkmasında yardımcı olabileceği kanısındayız. </w:t>
      </w:r>
      <w:r>
        <w:rPr>
          <w:rFonts w:ascii="Book Antiqua" w:eastAsia="Book Antiqua" w:hAnsi="Book Antiqua" w:cs="Book Antiqua"/>
          <w:b/>
          <w:sz w:val="17"/>
        </w:rPr>
        <w:t>Anahtar sözcükler:</w:t>
      </w:r>
      <w:r>
        <w:rPr>
          <w:rFonts w:ascii="Book Antiqua" w:eastAsia="Book Antiqua" w:hAnsi="Book Antiqua" w:cs="Book Antiqua"/>
          <w:sz w:val="17"/>
        </w:rPr>
        <w:t xml:space="preserve"> Apoptoz, BCL2, CCND1, HeLa Hücre Hattı, Vinorelbin </w:t>
      </w:r>
    </w:p>
    <w:p w:rsidR="00F77591" w:rsidRDefault="004A07C1">
      <w:pPr>
        <w:pStyle w:val="Balk1"/>
        <w:spacing w:after="5"/>
        <w:ind w:left="-5"/>
      </w:pPr>
      <w:r>
        <w:rPr>
          <w:rFonts w:ascii="Arial" w:eastAsia="Arial" w:hAnsi="Arial" w:cs="Arial"/>
          <w:sz w:val="17"/>
        </w:rPr>
        <w:t xml:space="preserve">SUMMARY </w:t>
      </w:r>
    </w:p>
    <w:p w:rsidR="00F77591" w:rsidRDefault="004A07C1">
      <w:pPr>
        <w:spacing w:after="4" w:line="249" w:lineRule="auto"/>
        <w:ind w:left="3" w:hanging="10"/>
        <w:jc w:val="both"/>
      </w:pPr>
      <w:r>
        <w:rPr>
          <w:rFonts w:ascii="Book Antiqua" w:eastAsia="Book Antiqua" w:hAnsi="Book Antiqua" w:cs="Book Antiqua"/>
          <w:b/>
          <w:sz w:val="17"/>
        </w:rPr>
        <w:t>Objective:</w:t>
      </w:r>
      <w:r>
        <w:rPr>
          <w:rFonts w:ascii="Book Antiqua" w:eastAsia="Book Antiqua" w:hAnsi="Book Antiqua" w:cs="Book Antiqua"/>
          <w:sz w:val="17"/>
        </w:rPr>
        <w:t xml:space="preserve"> Microtubules, having roles in many biological functions including cell motility, cell division, int</w:t>
      </w:r>
      <w:r>
        <w:rPr>
          <w:rFonts w:ascii="Book Antiqua" w:eastAsia="Book Antiqua" w:hAnsi="Book Antiqua" w:cs="Book Antiqua"/>
          <w:sz w:val="17"/>
        </w:rPr>
        <w:t>racellular transport, cellular architecture, are major targets for anticancer drugs. Vinorelbine (Navelbin) is one of the molecules that affects microtubules and used as a chemotherapoetic agent in various cancers. In our study, we aimed to determine prosp</w:t>
      </w:r>
      <w:r>
        <w:rPr>
          <w:rFonts w:ascii="Book Antiqua" w:eastAsia="Book Antiqua" w:hAnsi="Book Antiqua" w:cs="Book Antiqua"/>
          <w:sz w:val="17"/>
        </w:rPr>
        <w:t xml:space="preserve">ective apoptotic effect of the vinorelbine on human servical carcinoma cell line HeLa cells at 24 hours between 5-100µM dose incubation. </w:t>
      </w:r>
      <w:r>
        <w:rPr>
          <w:rFonts w:ascii="Book Antiqua" w:eastAsia="Book Antiqua" w:hAnsi="Book Antiqua" w:cs="Book Antiqua"/>
          <w:b/>
          <w:sz w:val="17"/>
        </w:rPr>
        <w:t>Material and Method:</w:t>
      </w:r>
      <w:r>
        <w:rPr>
          <w:rFonts w:ascii="Book Antiqua" w:eastAsia="Book Antiqua" w:hAnsi="Book Antiqua" w:cs="Book Antiqua"/>
          <w:sz w:val="17"/>
        </w:rPr>
        <w:t xml:space="preserve"> For this purpose, vinorelbine treated HeLa cells, were assessed by XTT viability analysis and fluo</w:t>
      </w:r>
      <w:r>
        <w:rPr>
          <w:rFonts w:ascii="Book Antiqua" w:eastAsia="Book Antiqua" w:hAnsi="Book Antiqua" w:cs="Book Antiqua"/>
          <w:sz w:val="17"/>
        </w:rPr>
        <w:t xml:space="preserve">resence microscopy to determine cell characteristic morphology. B cell lyphoma </w:t>
      </w:r>
      <w:r>
        <w:rPr>
          <w:rFonts w:ascii="Book Antiqua" w:eastAsia="Book Antiqua" w:hAnsi="Book Antiqua" w:cs="Book Antiqua"/>
          <w:sz w:val="17"/>
        </w:rPr>
        <w:lastRenderedPageBreak/>
        <w:t xml:space="preserve">2 (BCL2) and cyclin D1 (CCND1) genes’ mRNA </w:t>
      </w:r>
      <w:r>
        <w:rPr>
          <w:rFonts w:ascii="Book Antiqua" w:eastAsia="Book Antiqua" w:hAnsi="Book Antiqua" w:cs="Book Antiqua"/>
          <w:sz w:val="17"/>
        </w:rPr>
        <w:t xml:space="preserve">expression  levels were also evaluated in vinorelbine applied cells. </w:t>
      </w:r>
    </w:p>
    <w:p w:rsidR="00F77591" w:rsidRDefault="00F77591">
      <w:pPr>
        <w:sectPr w:rsidR="00F77591">
          <w:type w:val="continuous"/>
          <w:pgSz w:w="11904" w:h="16840"/>
          <w:pgMar w:top="1440" w:right="1129" w:bottom="1440" w:left="1134" w:header="708" w:footer="708" w:gutter="0"/>
          <w:cols w:num="2" w:space="708" w:equalWidth="0">
            <w:col w:w="2189" w:space="809"/>
            <w:col w:w="6643"/>
          </w:cols>
        </w:sectPr>
      </w:pPr>
    </w:p>
    <w:p w:rsidR="00F77591" w:rsidRDefault="004A07C1">
      <w:pPr>
        <w:spacing w:after="76"/>
        <w:ind w:left="-28"/>
      </w:pPr>
      <w:r>
        <w:rPr>
          <w:noProof/>
        </w:rPr>
        <mc:AlternateContent>
          <mc:Choice Requires="wpg">
            <w:drawing>
              <wp:inline distT="0" distB="0" distL="0" distR="0">
                <wp:extent cx="1943100" cy="9525"/>
                <wp:effectExtent l="0" t="0" r="0" b="0"/>
                <wp:docPr id="29820" name="Group 29820"/>
                <wp:cNvGraphicFramePr/>
                <a:graphic xmlns:a="http://schemas.openxmlformats.org/drawingml/2006/main">
                  <a:graphicData uri="http://schemas.microsoft.com/office/word/2010/wordprocessingGroup">
                    <wpg:wgp>
                      <wpg:cNvGrpSpPr/>
                      <wpg:grpSpPr>
                        <a:xfrm>
                          <a:off x="0" y="0"/>
                          <a:ext cx="1943100" cy="9525"/>
                          <a:chOff x="0" y="0"/>
                          <a:chExt cx="1943100" cy="9525"/>
                        </a:xfrm>
                      </wpg:grpSpPr>
                      <wps:wsp>
                        <wps:cNvPr id="308" name="Shape 308"/>
                        <wps:cNvSpPr/>
                        <wps:spPr>
                          <a:xfrm>
                            <a:off x="0" y="0"/>
                            <a:ext cx="1943100" cy="0"/>
                          </a:xfrm>
                          <a:custGeom>
                            <a:avLst/>
                            <a:gdLst/>
                            <a:ahLst/>
                            <a:cxnLst/>
                            <a:rect l="0" t="0" r="0" b="0"/>
                            <a:pathLst>
                              <a:path w="1943100">
                                <a:moveTo>
                                  <a:pt x="0" y="0"/>
                                </a:moveTo>
                                <a:lnTo>
                                  <a:pt x="1943100" y="0"/>
                                </a:lnTo>
                              </a:path>
                            </a:pathLst>
                          </a:custGeom>
                          <a:ln w="9525" cap="rnd">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20" style="width:153pt;height:0.75pt;mso-position-horizontal-relative:char;mso-position-vertical-relative:line" coordsize="19431,95">
                <v:shape id="Shape 308" style="position:absolute;width:19431;height:0;left:0;top:0;" coordsize="1943100,0" path="m0,0l1943100,0">
                  <v:stroke weight="0.75pt" endcap="round" joinstyle="round" on="true" color="#7f7f7f"/>
                  <v:fill on="false" color="#000000" opacity="0"/>
                </v:shape>
              </v:group>
            </w:pict>
          </mc:Fallback>
        </mc:AlternateContent>
      </w:r>
    </w:p>
    <w:p w:rsidR="00F77591" w:rsidRDefault="004A07C1">
      <w:pPr>
        <w:spacing w:after="0"/>
      </w:pPr>
      <w:r>
        <w:rPr>
          <w:rFonts w:ascii="Segoe UI Symbol" w:eastAsia="Segoe UI Symbol" w:hAnsi="Segoe UI Symbol" w:cs="Segoe UI Symbol"/>
          <w:sz w:val="10"/>
        </w:rPr>
        <w:t></w:t>
      </w:r>
    </w:p>
    <w:p w:rsidR="00F77591" w:rsidRDefault="004A07C1">
      <w:pPr>
        <w:spacing w:after="0"/>
        <w:ind w:left="-5" w:hanging="10"/>
      </w:pPr>
      <w:r>
        <w:rPr>
          <w:rFonts w:ascii="Times New Roman" w:eastAsia="Times New Roman" w:hAnsi="Times New Roman" w:cs="Times New Roman"/>
          <w:sz w:val="15"/>
        </w:rPr>
        <w:t>Bu çalış</w:t>
      </w:r>
      <w:r>
        <w:rPr>
          <w:rFonts w:ascii="Times New Roman" w:eastAsia="Times New Roman" w:hAnsi="Times New Roman" w:cs="Times New Roman"/>
          <w:sz w:val="15"/>
        </w:rPr>
        <w:t xml:space="preserve">ma, 9th International Meeting of the International Society for the Study of Xenobiotics (ISSX) Kongresi’nde poster bildirisi olarak sunulmuştur (04-08 </w:t>
      </w:r>
    </w:p>
    <w:p w:rsidR="00F77591" w:rsidRDefault="004A07C1">
      <w:pPr>
        <w:spacing w:after="250"/>
        <w:ind w:left="-5" w:hanging="10"/>
      </w:pPr>
      <w:r>
        <w:rPr>
          <w:rFonts w:ascii="Times New Roman" w:eastAsia="Times New Roman" w:hAnsi="Times New Roman" w:cs="Times New Roman"/>
          <w:sz w:val="15"/>
        </w:rPr>
        <w:t xml:space="preserve">Eylül 2010, İstanbul, Türkiye) </w:t>
      </w:r>
    </w:p>
    <w:p w:rsidR="00F77591" w:rsidRDefault="004A07C1">
      <w:pPr>
        <w:spacing w:after="0"/>
        <w:ind w:left="8"/>
      </w:pPr>
      <w:r>
        <w:t>©</w:t>
      </w:r>
      <w:r>
        <w:rPr>
          <w:rFonts w:ascii="Garamond" w:eastAsia="Garamond" w:hAnsi="Garamond" w:cs="Garamond"/>
        </w:rPr>
        <w:t xml:space="preserve"> </w:t>
      </w:r>
      <w:r>
        <w:rPr>
          <w:rFonts w:ascii="Times New Roman" w:eastAsia="Times New Roman" w:hAnsi="Times New Roman" w:cs="Times New Roman"/>
        </w:rPr>
        <w:t>2011</w:t>
      </w:r>
      <w:r>
        <w:t xml:space="preserve"> </w:t>
      </w:r>
      <w:r>
        <w:rPr>
          <w:rFonts w:ascii="Times New Roman" w:eastAsia="Times New Roman" w:hAnsi="Times New Roman" w:cs="Times New Roman"/>
          <w:b/>
        </w:rPr>
        <w:t>DEÜ</w:t>
      </w:r>
      <w:r>
        <w:rPr>
          <w:rFonts w:ascii="Times New Roman" w:eastAsia="Times New Roman" w:hAnsi="Times New Roman" w:cs="Times New Roman"/>
          <w:b/>
          <w:sz w:val="16"/>
        </w:rPr>
        <w:t xml:space="preserve"> </w:t>
      </w:r>
      <w:r>
        <w:rPr>
          <w:rFonts w:ascii="Times New Roman" w:eastAsia="Times New Roman" w:hAnsi="Times New Roman" w:cs="Times New Roman"/>
          <w:sz w:val="16"/>
        </w:rPr>
        <w:t>TIP</w:t>
      </w:r>
      <w:r>
        <w:rPr>
          <w:rFonts w:ascii="Times New Roman" w:eastAsia="Times New Roman" w:hAnsi="Times New Roman" w:cs="Times New Roman"/>
          <w:b/>
          <w:sz w:val="16"/>
        </w:rPr>
        <w:t xml:space="preserve"> </w:t>
      </w:r>
      <w:r>
        <w:rPr>
          <w:rFonts w:ascii="Times New Roman" w:eastAsia="Times New Roman" w:hAnsi="Times New Roman" w:cs="Times New Roman"/>
          <w:sz w:val="16"/>
        </w:rPr>
        <w:t>FAKÜLTESİ</w:t>
      </w:r>
      <w:r>
        <w:rPr>
          <w:rFonts w:ascii="Times New Roman" w:eastAsia="Times New Roman" w:hAnsi="Times New Roman" w:cs="Times New Roman"/>
          <w:b/>
          <w:sz w:val="16"/>
        </w:rPr>
        <w:t xml:space="preserve"> </w:t>
      </w:r>
      <w:r>
        <w:rPr>
          <w:rFonts w:ascii="Times New Roman" w:eastAsia="Times New Roman" w:hAnsi="Times New Roman" w:cs="Times New Roman"/>
          <w:sz w:val="16"/>
        </w:rPr>
        <w:t>DERGİSİ</w:t>
      </w:r>
      <w:r>
        <w:rPr>
          <w:rFonts w:ascii="Times New Roman" w:eastAsia="Times New Roman" w:hAnsi="Times New Roman" w:cs="Times New Roman"/>
          <w:sz w:val="16"/>
        </w:rPr>
        <w:t xml:space="preserve">                                                                                          CİLT 25, SAYI </w:t>
      </w:r>
      <w:r>
        <w:t>1</w:t>
      </w:r>
      <w:r>
        <w:rPr>
          <w:rFonts w:ascii="Times New Roman" w:eastAsia="Times New Roman" w:hAnsi="Times New Roman" w:cs="Times New Roman"/>
          <w:sz w:val="16"/>
        </w:rPr>
        <w:t>, (</w:t>
      </w:r>
      <w:r>
        <w:rPr>
          <w:rFonts w:ascii="Bodoni MT" w:eastAsia="Bodoni MT" w:hAnsi="Bodoni MT" w:cs="Bodoni MT"/>
          <w:sz w:val="16"/>
        </w:rPr>
        <w:t>OCAK</w:t>
      </w:r>
      <w:r>
        <w:rPr>
          <w:rFonts w:ascii="Times New Roman" w:eastAsia="Times New Roman" w:hAnsi="Times New Roman" w:cs="Times New Roman"/>
          <w:sz w:val="16"/>
        </w:rPr>
        <w:t xml:space="preserve">) 2011, S: </w:t>
      </w:r>
      <w:r>
        <w:rPr>
          <w:rFonts w:ascii="Bodoni MT" w:eastAsia="Bodoni MT" w:hAnsi="Bodoni MT" w:cs="Bodoni MT"/>
          <w:sz w:val="18"/>
        </w:rPr>
        <w:t>05 – 14</w:t>
      </w:r>
      <w:r>
        <w:rPr>
          <w:rFonts w:ascii="Times New Roman" w:eastAsia="Times New Roman" w:hAnsi="Times New Roman" w:cs="Times New Roman"/>
          <w:sz w:val="16"/>
        </w:rPr>
        <w:t xml:space="preserve"> </w:t>
      </w:r>
    </w:p>
    <w:p w:rsidR="00F77591" w:rsidRDefault="004A07C1">
      <w:pPr>
        <w:spacing w:after="34" w:line="249" w:lineRule="auto"/>
        <w:ind w:left="3" w:hanging="10"/>
        <w:jc w:val="both"/>
      </w:pPr>
      <w:r>
        <w:rPr>
          <w:rFonts w:ascii="Book Antiqua" w:eastAsia="Book Antiqua" w:hAnsi="Book Antiqua" w:cs="Book Antiqua"/>
          <w:b/>
          <w:sz w:val="17"/>
        </w:rPr>
        <w:t xml:space="preserve"> Results:</w:t>
      </w:r>
      <w:r>
        <w:rPr>
          <w:rFonts w:ascii="Book Antiqua" w:eastAsia="Book Antiqua" w:hAnsi="Book Antiqua" w:cs="Book Antiqua"/>
          <w:sz w:val="17"/>
        </w:rPr>
        <w:t xml:space="preserve"> Cell viability was found to be below 60% for the highest vinorelbine </w:t>
      </w:r>
      <w:r>
        <w:rPr>
          <w:rFonts w:ascii="Book Antiqua" w:eastAsia="Book Antiqua" w:hAnsi="Book Antiqua" w:cs="Book Antiqua"/>
          <w:b/>
          <w:sz w:val="17"/>
        </w:rPr>
        <w:t xml:space="preserve"> </w:t>
      </w:r>
      <w:r>
        <w:rPr>
          <w:rFonts w:ascii="Book Antiqua" w:eastAsia="Book Antiqua" w:hAnsi="Book Antiqua" w:cs="Book Antiqua"/>
          <w:sz w:val="17"/>
        </w:rPr>
        <w:t>concentration (100μM) at the end of 24 hours</w:t>
      </w:r>
      <w:r>
        <w:rPr>
          <w:rFonts w:ascii="Book Antiqua" w:eastAsia="Book Antiqua" w:hAnsi="Book Antiqua" w:cs="Book Antiqua"/>
          <w:sz w:val="17"/>
        </w:rPr>
        <w:t xml:space="preserve"> incubation. Apoptotic ratio was found </w:t>
      </w:r>
      <w:r>
        <w:rPr>
          <w:rFonts w:ascii="Book Antiqua" w:eastAsia="Book Antiqua" w:hAnsi="Book Antiqua" w:cs="Book Antiqua"/>
          <w:b/>
          <w:sz w:val="17"/>
        </w:rPr>
        <w:t xml:space="preserve"> </w:t>
      </w:r>
      <w:r>
        <w:rPr>
          <w:rFonts w:ascii="Book Antiqua" w:eastAsia="Book Antiqua" w:hAnsi="Book Antiqua" w:cs="Book Antiqua"/>
          <w:sz w:val="17"/>
        </w:rPr>
        <w:t xml:space="preserve">17.6% for the 40μM dose at the same time necrotic ratio was found lower than 80 and </w:t>
      </w:r>
      <w:r>
        <w:rPr>
          <w:rFonts w:ascii="Book Antiqua" w:eastAsia="Book Antiqua" w:hAnsi="Book Antiqua" w:cs="Book Antiqua"/>
          <w:b/>
          <w:sz w:val="17"/>
        </w:rPr>
        <w:t xml:space="preserve"> </w:t>
      </w:r>
      <w:r>
        <w:rPr>
          <w:rFonts w:ascii="Book Antiqua" w:eastAsia="Book Antiqua" w:hAnsi="Book Antiqua" w:cs="Book Antiqua"/>
          <w:sz w:val="17"/>
        </w:rPr>
        <w:t xml:space="preserve">100μM doses. Therefore, the most effective apoptotic dose was found to be 40μM. </w:t>
      </w:r>
      <w:r>
        <w:rPr>
          <w:rFonts w:ascii="Book Antiqua" w:eastAsia="Book Antiqua" w:hAnsi="Book Antiqua" w:cs="Book Antiqua"/>
          <w:b/>
          <w:sz w:val="17"/>
        </w:rPr>
        <w:t xml:space="preserve"> </w:t>
      </w:r>
      <w:r>
        <w:rPr>
          <w:rFonts w:ascii="Book Antiqua" w:eastAsia="Book Antiqua" w:hAnsi="Book Antiqua" w:cs="Book Antiqua"/>
          <w:sz w:val="17"/>
        </w:rPr>
        <w:t>Moreover, we detected that 40μM vinorelbine treatm</w:t>
      </w:r>
      <w:r>
        <w:rPr>
          <w:rFonts w:ascii="Book Antiqua" w:eastAsia="Book Antiqua" w:hAnsi="Book Antiqua" w:cs="Book Antiqua"/>
          <w:sz w:val="17"/>
        </w:rPr>
        <w:t>ent caused a decrease in anti</w:t>
      </w:r>
      <w:r>
        <w:rPr>
          <w:rFonts w:ascii="Book Antiqua" w:eastAsia="Book Antiqua" w:hAnsi="Book Antiqua" w:cs="Book Antiqua"/>
          <w:b/>
          <w:sz w:val="17"/>
        </w:rPr>
        <w:t xml:space="preserve"> </w:t>
      </w:r>
      <w:r>
        <w:rPr>
          <w:rFonts w:ascii="Book Antiqua" w:eastAsia="Book Antiqua" w:hAnsi="Book Antiqua" w:cs="Book Antiqua"/>
          <w:sz w:val="17"/>
        </w:rPr>
        <w:t xml:space="preserve">apoptotic BCL2 and proto-oncogene CCND1 genes’ expression levels. </w:t>
      </w:r>
    </w:p>
    <w:p w:rsidR="00F77591" w:rsidRDefault="004A07C1">
      <w:pPr>
        <w:spacing w:after="4" w:line="249" w:lineRule="auto"/>
        <w:ind w:left="3" w:hanging="10"/>
        <w:jc w:val="both"/>
      </w:pPr>
      <w:r>
        <w:rPr>
          <w:rFonts w:ascii="Book Antiqua" w:eastAsia="Book Antiqua" w:hAnsi="Book Antiqua" w:cs="Book Antiqua"/>
          <w:b/>
          <w:sz w:val="17"/>
        </w:rPr>
        <w:t xml:space="preserve"> Conclusion:</w:t>
      </w:r>
      <w:r>
        <w:rPr>
          <w:rFonts w:ascii="Book Antiqua" w:eastAsia="Book Antiqua" w:hAnsi="Book Antiqua" w:cs="Book Antiqua"/>
          <w:sz w:val="17"/>
        </w:rPr>
        <w:t xml:space="preserve"> We believe that determination of molecular mechanisms involving </w:t>
      </w:r>
      <w:r>
        <w:rPr>
          <w:rFonts w:ascii="Book Antiqua" w:eastAsia="Book Antiqua" w:hAnsi="Book Antiqua" w:cs="Book Antiqua"/>
          <w:b/>
          <w:sz w:val="26"/>
          <w:vertAlign w:val="superscript"/>
        </w:rPr>
        <w:t xml:space="preserve"> </w:t>
      </w:r>
      <w:r>
        <w:rPr>
          <w:rFonts w:ascii="Book Antiqua" w:eastAsia="Book Antiqua" w:hAnsi="Book Antiqua" w:cs="Book Antiqua"/>
          <w:sz w:val="17"/>
        </w:rPr>
        <w:t xml:space="preserve">vinorelbine which has anticancer properties by virtue of distrupting microtubule </w:t>
      </w:r>
      <w:r>
        <w:rPr>
          <w:rFonts w:ascii="Book Antiqua" w:eastAsia="Book Antiqua" w:hAnsi="Book Antiqua" w:cs="Book Antiqua"/>
          <w:b/>
          <w:sz w:val="26"/>
          <w:vertAlign w:val="superscript"/>
        </w:rPr>
        <w:t xml:space="preserve"> </w:t>
      </w:r>
      <w:r>
        <w:rPr>
          <w:rFonts w:ascii="Book Antiqua" w:eastAsia="Book Antiqua" w:hAnsi="Book Antiqua" w:cs="Book Antiqua"/>
          <w:sz w:val="17"/>
        </w:rPr>
        <w:t xml:space="preserve">dynamics, may lead to development of more effective approaches in cancer treatment. </w:t>
      </w:r>
      <w:r>
        <w:rPr>
          <w:rFonts w:ascii="Book Antiqua" w:eastAsia="Book Antiqua" w:hAnsi="Book Antiqua" w:cs="Book Antiqua"/>
          <w:b/>
          <w:sz w:val="26"/>
          <w:vertAlign w:val="superscript"/>
        </w:rPr>
        <w:t xml:space="preserve"> </w:t>
      </w:r>
      <w:r>
        <w:rPr>
          <w:rFonts w:ascii="Book Antiqua" w:eastAsia="Book Antiqua" w:hAnsi="Book Antiqua" w:cs="Book Antiqua"/>
          <w:b/>
          <w:sz w:val="17"/>
        </w:rPr>
        <w:t>Key words:</w:t>
      </w:r>
      <w:r>
        <w:rPr>
          <w:rFonts w:ascii="Book Antiqua" w:eastAsia="Book Antiqua" w:hAnsi="Book Antiqua" w:cs="Book Antiqua"/>
          <w:sz w:val="17"/>
        </w:rPr>
        <w:t xml:space="preserve"> Apoptosis, HeLa cell line, Vinorelbine, BCL2, Cyclin D1 </w:t>
      </w:r>
    </w:p>
    <w:p w:rsidR="00F77591" w:rsidRDefault="00F77591">
      <w:pPr>
        <w:sectPr w:rsidR="00F77591">
          <w:type w:val="continuous"/>
          <w:pgSz w:w="11904" w:h="16840"/>
          <w:pgMar w:top="2307" w:right="1130" w:bottom="1442" w:left="1126" w:header="708" w:footer="708" w:gutter="0"/>
          <w:cols w:space="708"/>
        </w:sectPr>
      </w:pPr>
    </w:p>
    <w:p w:rsidR="00F77591" w:rsidRDefault="004A07C1">
      <w:pPr>
        <w:spacing w:after="6"/>
      </w:pPr>
      <w:r>
        <w:rPr>
          <w:rFonts w:ascii="Book Antiqua" w:eastAsia="Book Antiqua" w:hAnsi="Book Antiqua" w:cs="Book Antiqua"/>
          <w:b/>
          <w:sz w:val="17"/>
        </w:rPr>
        <w:t xml:space="preserve"> </w:t>
      </w:r>
    </w:p>
    <w:p w:rsidR="00F77591" w:rsidRDefault="004A07C1">
      <w:pPr>
        <w:spacing w:after="17"/>
        <w:ind w:left="285"/>
      </w:pPr>
      <w:r>
        <w:rPr>
          <w:rFonts w:ascii="Palatino Linotype" w:eastAsia="Palatino Linotype" w:hAnsi="Palatino Linotype" w:cs="Palatino Linotype"/>
          <w:sz w:val="18"/>
        </w:rPr>
        <w:t xml:space="preserve">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Serviks (rahim ağzı) kanseri, kadın kanserleri arasında ikinci sırada yer almaktad</w:t>
      </w:r>
      <w:r>
        <w:rPr>
          <w:rFonts w:ascii="Palatino Linotype" w:eastAsia="Palatino Linotype" w:hAnsi="Palatino Linotype" w:cs="Palatino Linotype"/>
          <w:sz w:val="18"/>
        </w:rPr>
        <w:t>ır. Dünyada yılda 493.000 kişi serviks kanser tanısı almakta ve 274.000 kişi hayatını kaybetmektedir (1). Ortalama görülme yaşı 52’dir, ancak 3539 ve 60‐64 yaş aralığında görülme sıklığında belirgin bir artış bulunmaktadır</w:t>
      </w:r>
      <w:r>
        <w:rPr>
          <w:rFonts w:ascii="Palatino Linotype" w:eastAsia="Palatino Linotype" w:hAnsi="Palatino Linotype" w:cs="Palatino Linotype"/>
          <w:b/>
          <w:sz w:val="18"/>
        </w:rPr>
        <w:t xml:space="preserve"> </w:t>
      </w:r>
      <w:r>
        <w:rPr>
          <w:rFonts w:ascii="Palatino Linotype" w:eastAsia="Palatino Linotype" w:hAnsi="Palatino Linotype" w:cs="Palatino Linotype"/>
          <w:sz w:val="18"/>
        </w:rPr>
        <w:t>(2).</w:t>
      </w:r>
      <w:r>
        <w:rPr>
          <w:rFonts w:ascii="Palatino Linotype" w:eastAsia="Palatino Linotype" w:hAnsi="Palatino Linotype" w:cs="Palatino Linotype"/>
          <w:b/>
          <w:sz w:val="18"/>
        </w:rPr>
        <w:t xml:space="preserve"> </w:t>
      </w:r>
      <w:r>
        <w:rPr>
          <w:rFonts w:ascii="Palatino Linotype" w:eastAsia="Palatino Linotype" w:hAnsi="Palatino Linotype" w:cs="Palatino Linotype"/>
          <w:sz w:val="18"/>
        </w:rPr>
        <w:t xml:space="preserve">Türk populasyonunda görülme </w:t>
      </w:r>
      <w:r>
        <w:rPr>
          <w:rFonts w:ascii="Palatino Linotype" w:eastAsia="Palatino Linotype" w:hAnsi="Palatino Linotype" w:cs="Palatino Linotype"/>
          <w:sz w:val="18"/>
        </w:rPr>
        <w:t>sıklığı (%5,31) bakımından serviks kanseri onuncu sırada yer almaktadır (3).</w:t>
      </w:r>
      <w:r>
        <w:rPr>
          <w:rFonts w:ascii="Palatino Linotype" w:eastAsia="Palatino Linotype" w:hAnsi="Palatino Linotype" w:cs="Palatino Linotype"/>
          <w:b/>
          <w:sz w:val="18"/>
        </w:rPr>
        <w:t xml:space="preserve"> </w:t>
      </w:r>
    </w:p>
    <w:tbl>
      <w:tblPr>
        <w:tblStyle w:val="TableGrid"/>
        <w:tblpPr w:vertAnchor="text" w:horzAnchor="margin" w:tblpY="5961"/>
        <w:tblOverlap w:val="never"/>
        <w:tblW w:w="9684" w:type="dxa"/>
        <w:tblInd w:w="0" w:type="dxa"/>
        <w:tblCellMar>
          <w:top w:w="0" w:type="dxa"/>
          <w:left w:w="0" w:type="dxa"/>
          <w:bottom w:w="0" w:type="dxa"/>
          <w:right w:w="2885" w:type="dxa"/>
        </w:tblCellMar>
        <w:tblLook w:val="04A0" w:firstRow="1" w:lastRow="0" w:firstColumn="1" w:lastColumn="0" w:noHBand="0" w:noVBand="1"/>
      </w:tblPr>
      <w:tblGrid>
        <w:gridCol w:w="9684"/>
      </w:tblGrid>
      <w:tr w:rsidR="00F77591">
        <w:trPr>
          <w:trHeight w:val="1108"/>
        </w:trPr>
        <w:tc>
          <w:tcPr>
            <w:tcW w:w="6798" w:type="dxa"/>
            <w:tcBorders>
              <w:top w:val="nil"/>
              <w:left w:val="nil"/>
              <w:bottom w:val="nil"/>
              <w:right w:val="nil"/>
            </w:tcBorders>
            <w:vAlign w:val="bottom"/>
          </w:tcPr>
          <w:p w:rsidR="00F77591" w:rsidRDefault="004A07C1">
            <w:pPr>
              <w:spacing w:after="126"/>
              <w:jc w:val="right"/>
            </w:pPr>
            <w:r>
              <w:rPr>
                <w:noProof/>
              </w:rPr>
              <w:drawing>
                <wp:inline distT="0" distB="0" distL="0" distR="0">
                  <wp:extent cx="4278630" cy="2878836"/>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0"/>
                          <a:stretch>
                            <a:fillRect/>
                          </a:stretch>
                        </pic:blipFill>
                        <pic:spPr>
                          <a:xfrm>
                            <a:off x="0" y="0"/>
                            <a:ext cx="4278630" cy="2878836"/>
                          </a:xfrm>
                          <a:prstGeom prst="rect">
                            <a:avLst/>
                          </a:prstGeom>
                        </pic:spPr>
                      </pic:pic>
                    </a:graphicData>
                  </a:graphic>
                </wp:inline>
              </w:drawing>
            </w:r>
            <w:r>
              <w:rPr>
                <w:rFonts w:ascii="Times New Roman" w:eastAsia="Times New Roman" w:hAnsi="Times New Roman" w:cs="Times New Roman"/>
                <w:sz w:val="24"/>
              </w:rPr>
              <w:t xml:space="preserve"> </w:t>
            </w:r>
          </w:p>
          <w:p w:rsidR="00F77591" w:rsidRDefault="004A07C1">
            <w:pPr>
              <w:spacing w:after="0"/>
            </w:pPr>
            <w:r>
              <w:rPr>
                <w:rFonts w:ascii="Book Antiqua" w:eastAsia="Book Antiqua" w:hAnsi="Book Antiqua" w:cs="Book Antiqua"/>
                <w:b/>
                <w:sz w:val="16"/>
              </w:rPr>
              <w:t xml:space="preserve"> </w:t>
            </w:r>
          </w:p>
          <w:p w:rsidR="00F77591" w:rsidRDefault="004A07C1">
            <w:pPr>
              <w:spacing w:after="52"/>
            </w:pPr>
            <w:r>
              <w:rPr>
                <w:rFonts w:ascii="Book Antiqua" w:eastAsia="Book Antiqua" w:hAnsi="Book Antiqua" w:cs="Book Antiqua"/>
                <w:b/>
                <w:sz w:val="16"/>
              </w:rPr>
              <w:t xml:space="preserve">Şekil 1.    </w:t>
            </w:r>
            <w:r>
              <w:rPr>
                <w:rFonts w:ascii="Book Antiqua" w:eastAsia="Book Antiqua" w:hAnsi="Book Antiqua" w:cs="Book Antiqua"/>
                <w:sz w:val="16"/>
              </w:rPr>
              <w:t xml:space="preserve">Vinorelbin’in kimyasal yapısı </w:t>
            </w:r>
          </w:p>
          <w:p w:rsidR="00F77591" w:rsidRDefault="004A07C1">
            <w:pPr>
              <w:spacing w:after="0"/>
              <w:ind w:left="708"/>
            </w:pPr>
            <w:r>
              <w:rPr>
                <w:rFonts w:ascii="Times New Roman" w:eastAsia="Times New Roman" w:hAnsi="Times New Roman" w:cs="Times New Roman"/>
                <w:sz w:val="24"/>
              </w:rPr>
              <w:t xml:space="preserve"> </w:t>
            </w:r>
          </w:p>
        </w:tc>
      </w:tr>
    </w:tbl>
    <w:p w:rsidR="00F77591" w:rsidRDefault="004A07C1">
      <w:pPr>
        <w:spacing w:after="126" w:line="270" w:lineRule="auto"/>
        <w:ind w:left="-15" w:right="31" w:firstLine="275"/>
        <w:jc w:val="both"/>
      </w:pPr>
      <w:r>
        <w:rPr>
          <w:rFonts w:ascii="Palatino Linotype" w:eastAsia="Palatino Linotype" w:hAnsi="Palatino Linotype" w:cs="Palatino Linotype"/>
          <w:sz w:val="18"/>
        </w:rPr>
        <w:t xml:space="preserve">Mikrotübül dinamiğini baskıladığı bilinen yaygın olarak kullanılan ilaçların bir grubu vinka alkoloidleridir. Bu moleküller, </w:t>
      </w:r>
      <w:r>
        <w:rPr>
          <w:rFonts w:ascii="Palatino Linotype" w:eastAsia="Palatino Linotype" w:hAnsi="Palatino Linotype" w:cs="Palatino Linotype"/>
          <w:sz w:val="18"/>
        </w:rPr>
        <w:t>mikrotübül stabilitesini bozarak, metafaz anafaz geçişini engeller. Mitoz bölünmenin bu şekilde baskılanması apoptozu uyarır. Bir vinka alkoloidi olan vinorelbin çeşitli kanserlerde kemoterapötik ajan olarak kullanılmaktadır (4). Vinorelbin, düşük toksisit</w:t>
      </w:r>
      <w:r>
        <w:rPr>
          <w:rFonts w:ascii="Palatino Linotype" w:eastAsia="Palatino Linotype" w:hAnsi="Palatino Linotype" w:cs="Palatino Linotype"/>
          <w:sz w:val="18"/>
        </w:rPr>
        <w:t>esi ve artan değerlerdeki etkinliğiyle klinikte en çok kabul gören vinka alkoloididir (Şekil 1). Bu bileşik, küçük hücre dışı akciğer kanseri, metastatik meme kanseri ve ovaryum kanseri üzerine etkilidir. Ayrıca özofajiyal kanser, lenfoma ve prostat kanser</w:t>
      </w:r>
      <w:r>
        <w:rPr>
          <w:rFonts w:ascii="Palatino Linotype" w:eastAsia="Palatino Linotype" w:hAnsi="Palatino Linotype" w:cs="Palatino Linotype"/>
          <w:sz w:val="18"/>
        </w:rPr>
        <w:t>i için de ümit vericidir</w:t>
      </w:r>
      <w:r>
        <w:rPr>
          <w:rFonts w:ascii="Palatino Linotype" w:eastAsia="Palatino Linotype" w:hAnsi="Palatino Linotype" w:cs="Palatino Linotype"/>
          <w:b/>
          <w:color w:val="1F487B"/>
          <w:sz w:val="18"/>
        </w:rPr>
        <w:t xml:space="preserve"> </w:t>
      </w:r>
      <w:r>
        <w:rPr>
          <w:rFonts w:ascii="Palatino Linotype" w:eastAsia="Palatino Linotype" w:hAnsi="Palatino Linotype" w:cs="Palatino Linotype"/>
          <w:sz w:val="18"/>
        </w:rPr>
        <w:t xml:space="preserve">(5‐7). </w:t>
      </w:r>
      <w:r>
        <w:br w:type="page"/>
      </w:r>
    </w:p>
    <w:p w:rsidR="00F77591" w:rsidRDefault="004A07C1">
      <w:pPr>
        <w:spacing w:after="126" w:line="270" w:lineRule="auto"/>
        <w:ind w:left="-15" w:right="31" w:firstLine="275"/>
        <w:jc w:val="both"/>
      </w:pPr>
      <w:r>
        <w:rPr>
          <w:rFonts w:ascii="Palatino Linotype" w:eastAsia="Palatino Linotype" w:hAnsi="Palatino Linotype" w:cs="Palatino Linotype"/>
          <w:sz w:val="18"/>
        </w:rPr>
        <w:lastRenderedPageBreak/>
        <w:t xml:space="preserve">Apoptoz, normal hücre büyümesi ve homeostazisi için gerekli bir süreçtir. Apoptoz süresince, hücrelerde, hücre ve membran büzülmesi, kromatin yoğunlaşması, nükleer ve sitoplazmik ağın dağılımı, DNA’nın parçalara ayrılması </w:t>
      </w:r>
      <w:r>
        <w:rPr>
          <w:rFonts w:ascii="Palatino Linotype" w:eastAsia="Palatino Linotype" w:hAnsi="Palatino Linotype" w:cs="Palatino Linotype"/>
          <w:sz w:val="18"/>
        </w:rPr>
        <w:t>ve membran tomurcuklanması gibi sitoplazmik ve nükleer değişimler görülür (8). Apoptozun kontrolündeki anormallikler kanser gelişiminde önemli rol oynar (9). Apoptoz çok sayıda gen tarafından kontrol edilmektedir. Bunlardan biri de anti‐apoptotik bir prote</w:t>
      </w:r>
      <w:r>
        <w:rPr>
          <w:rFonts w:ascii="Palatino Linotype" w:eastAsia="Palatino Linotype" w:hAnsi="Palatino Linotype" w:cs="Palatino Linotype"/>
          <w:sz w:val="18"/>
        </w:rPr>
        <w:t>in olan bcl2 proteinini şifreler (10).</w:t>
      </w:r>
      <w:r>
        <w:rPr>
          <w:rFonts w:ascii="Palatino Linotype" w:eastAsia="Palatino Linotype" w:hAnsi="Palatino Linotype" w:cs="Palatino Linotype"/>
          <w:b/>
          <w:color w:val="1F487B"/>
          <w:sz w:val="18"/>
        </w:rPr>
        <w:t xml:space="preserve"> </w:t>
      </w:r>
      <w:r>
        <w:rPr>
          <w:rFonts w:ascii="Palatino Linotype" w:eastAsia="Palatino Linotype" w:hAnsi="Palatino Linotype" w:cs="Palatino Linotype"/>
          <w:sz w:val="18"/>
        </w:rPr>
        <w:t>BCL2 ailesinin yüksek derecede korunmuş bir üyesi olan bcl2 proteini apoptozun önemli bir düzenleyicisi olup (11) aynı zamanda hücreleri apoptozdan koruduğu belirlenen ilk gen olma özelliğini de taşımaktadır (12). Akt</w:t>
      </w:r>
      <w:r>
        <w:rPr>
          <w:rFonts w:ascii="Palatino Linotype" w:eastAsia="Palatino Linotype" w:hAnsi="Palatino Linotype" w:cs="Palatino Linotype"/>
          <w:sz w:val="18"/>
        </w:rPr>
        <w:t>if Bcl2 mitokondriden sitokrom C salınımını ve kaspazların aktivasyonunu engeller</w:t>
      </w:r>
      <w:r>
        <w:rPr>
          <w:rFonts w:ascii="Palatino Linotype" w:eastAsia="Palatino Linotype" w:hAnsi="Palatino Linotype" w:cs="Palatino Linotype"/>
          <w:b/>
          <w:color w:val="1F487B"/>
          <w:sz w:val="18"/>
        </w:rPr>
        <w:t xml:space="preserve"> </w:t>
      </w:r>
      <w:r>
        <w:rPr>
          <w:rFonts w:ascii="Palatino Linotype" w:eastAsia="Palatino Linotype" w:hAnsi="Palatino Linotype" w:cs="Palatino Linotype"/>
          <w:sz w:val="18"/>
        </w:rPr>
        <w:t>(13,14). BCL2 geninin ifadesindeki artış çeşitli kanserlerde gözlenmiştir (15‐22). Siklinler ve siklin bağımlı kinazlar (CDKs), DNA sentezi ve hücre bölünmesinde önemli rol o</w:t>
      </w:r>
      <w:r>
        <w:rPr>
          <w:rFonts w:ascii="Palatino Linotype" w:eastAsia="Palatino Linotype" w:hAnsi="Palatino Linotype" w:cs="Palatino Linotype"/>
          <w:sz w:val="18"/>
        </w:rPr>
        <w:t xml:space="preserve">ynarlar. Bu moleküllerin işlevlerindeki değişimler hücre bölünme kontrolünün bozulması ve sonrasında kanser gelişimi ile sonuçlanabilir (23). Bu moleküllerden biri olan CCND1, hücre bölünme döngüsünde memeli hücrelerinde G1/S fazı geçişini düzenlemektedir </w:t>
      </w:r>
      <w:r>
        <w:rPr>
          <w:rFonts w:ascii="Palatino Linotype" w:eastAsia="Palatino Linotype" w:hAnsi="Palatino Linotype" w:cs="Palatino Linotype"/>
          <w:sz w:val="18"/>
        </w:rPr>
        <w:t xml:space="preserve">(24). CCND1’in fazla ifade edilmesi de çeşitli kanserler ile ilişkili bulunmuştur (25‐27).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Bu bilgiler ışığında, mikrotübül yapısını bozarak kanser hücrelerinin çoğalmasını engelleyen vinorelbin’in bu etkisinin altında yatan moleküler mekanizmaları ortaya</w:t>
      </w:r>
      <w:r>
        <w:rPr>
          <w:rFonts w:ascii="Palatino Linotype" w:eastAsia="Palatino Linotype" w:hAnsi="Palatino Linotype" w:cs="Palatino Linotype"/>
          <w:sz w:val="18"/>
        </w:rPr>
        <w:t xml:space="preserve"> çıkartmayı amaçladık. Bundan dolayı, hücre döngüsünün ilerlemesinde etkin rol oynayan CCND1 geni ile antiapoptotik özellikte olan BCL2 geninin mRNA ifade düzeylerine etkisininin olup olmadığını 24 saat süre ile farklı dozlarda vinorelbin uygulanan insan s</w:t>
      </w:r>
      <w:r>
        <w:rPr>
          <w:rFonts w:ascii="Palatino Linotype" w:eastAsia="Palatino Linotype" w:hAnsi="Palatino Linotype" w:cs="Palatino Linotype"/>
          <w:sz w:val="18"/>
        </w:rPr>
        <w:t xml:space="preserve">erviks kanser hücre hattı olan HeLa hücrelerinde araştırdık. </w:t>
      </w:r>
    </w:p>
    <w:p w:rsidR="00F77591" w:rsidRDefault="004A07C1">
      <w:pPr>
        <w:spacing w:after="138"/>
        <w:ind w:left="-5" w:hanging="10"/>
      </w:pPr>
      <w:r>
        <w:rPr>
          <w:rFonts w:ascii="Palatino Linotype" w:eastAsia="Palatino Linotype" w:hAnsi="Palatino Linotype" w:cs="Palatino Linotype"/>
          <w:b/>
          <w:sz w:val="18"/>
        </w:rPr>
        <w:t xml:space="preserve">GEREÇ ve YÖNTEM </w:t>
      </w:r>
    </w:p>
    <w:p w:rsidR="00F77591" w:rsidRDefault="004A07C1">
      <w:pPr>
        <w:pStyle w:val="Balk1"/>
        <w:ind w:left="-5"/>
      </w:pPr>
      <w:r>
        <w:t>Hücre</w:t>
      </w:r>
      <w:r>
        <w:t xml:space="preserve"> </w:t>
      </w:r>
      <w:r>
        <w:t>Hatt</w:t>
      </w:r>
      <w:r>
        <w:t xml:space="preserve">ı </w:t>
      </w:r>
    </w:p>
    <w:p w:rsidR="00F77591" w:rsidRDefault="004A07C1">
      <w:pPr>
        <w:spacing w:after="5" w:line="270" w:lineRule="auto"/>
        <w:ind w:left="-15" w:right="31" w:firstLine="275"/>
        <w:jc w:val="both"/>
      </w:pPr>
      <w:r>
        <w:rPr>
          <w:rFonts w:ascii="Palatino Linotype" w:eastAsia="Palatino Linotype" w:hAnsi="Palatino Linotype" w:cs="Palatino Linotype"/>
          <w:sz w:val="18"/>
        </w:rPr>
        <w:t>Çalışmamızda insan servikal kanser hücre hatlarından olan HeLa serisi kullanıldı. Bu hücreler, içerisinde %10 fetal dana serumu (FCS), 200mM L‐glutamin ve 100U/ml P</w:t>
      </w:r>
      <w:r>
        <w:rPr>
          <w:rFonts w:ascii="Palatino Linotype" w:eastAsia="Palatino Linotype" w:hAnsi="Palatino Linotype" w:cs="Palatino Linotype"/>
          <w:sz w:val="18"/>
        </w:rPr>
        <w:t xml:space="preserve">enisilin ve 200μg/ml streptomisinli RPMI besiyerinde, </w:t>
      </w:r>
    </w:p>
    <w:p w:rsidR="00F77591" w:rsidRDefault="004A07C1">
      <w:pPr>
        <w:spacing w:after="126" w:line="270" w:lineRule="auto"/>
        <w:ind w:left="-15" w:right="31"/>
        <w:jc w:val="both"/>
      </w:pPr>
      <w:r>
        <w:rPr>
          <w:rFonts w:ascii="Palatino Linotype" w:eastAsia="Palatino Linotype" w:hAnsi="Palatino Linotype" w:cs="Palatino Linotype"/>
          <w:sz w:val="18"/>
        </w:rPr>
        <w:t>37</w:t>
      </w:r>
      <w:r>
        <w:rPr>
          <w:rFonts w:ascii="Palatino Linotype" w:eastAsia="Palatino Linotype" w:hAnsi="Palatino Linotype" w:cs="Palatino Linotype"/>
          <w:sz w:val="18"/>
          <w:vertAlign w:val="superscript"/>
        </w:rPr>
        <w:t>o</w:t>
      </w:r>
      <w:r>
        <w:rPr>
          <w:rFonts w:ascii="Palatino Linotype" w:eastAsia="Palatino Linotype" w:hAnsi="Palatino Linotype" w:cs="Palatino Linotype"/>
          <w:sz w:val="18"/>
        </w:rPr>
        <w:t>C’de %5’lik CO</w:t>
      </w:r>
      <w:r>
        <w:rPr>
          <w:rFonts w:ascii="Palatino Linotype" w:eastAsia="Palatino Linotype" w:hAnsi="Palatino Linotype" w:cs="Palatino Linotype"/>
          <w:sz w:val="11"/>
        </w:rPr>
        <w:t>2</w:t>
      </w:r>
      <w:r>
        <w:rPr>
          <w:rFonts w:ascii="Palatino Linotype" w:eastAsia="Palatino Linotype" w:hAnsi="Palatino Linotype" w:cs="Palatino Linotype"/>
          <w:sz w:val="18"/>
        </w:rPr>
        <w:t xml:space="preserve">’li ortamda kültüre edildi. </w:t>
      </w:r>
    </w:p>
    <w:p w:rsidR="00F77591" w:rsidRDefault="004A07C1">
      <w:pPr>
        <w:spacing w:after="680"/>
        <w:ind w:left="375"/>
      </w:pPr>
      <w:r>
        <w:rPr>
          <w:rFonts w:ascii="Arial" w:eastAsia="Arial" w:hAnsi="Arial" w:cs="Arial"/>
          <w:sz w:val="15"/>
        </w:rPr>
        <w:t xml:space="preserve">İnsan servikal kanser HeLa hücrelerinde Vinorelbin’in apoptotik etkisi             </w:t>
      </w:r>
    </w:p>
    <w:p w:rsidR="00F77591" w:rsidRDefault="004A07C1">
      <w:pPr>
        <w:pStyle w:val="Balk1"/>
        <w:ind w:left="-5"/>
      </w:pPr>
      <w:r>
        <w:t>XTT</w:t>
      </w:r>
      <w:r>
        <w:t xml:space="preserve"> </w:t>
      </w:r>
      <w:r>
        <w:t>Yöntemi</w:t>
      </w:r>
      <w:r>
        <w:t xml:space="preserve">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HeLa hücreleri, 96 kuyucuklu kültür tabakalarının her bir</w:t>
      </w:r>
      <w:r>
        <w:rPr>
          <w:rFonts w:ascii="Palatino Linotype" w:eastAsia="Palatino Linotype" w:hAnsi="Palatino Linotype" w:cs="Palatino Linotype"/>
          <w:sz w:val="18"/>
        </w:rPr>
        <w:t xml:space="preserve"> kuyucuğunda 1x10</w:t>
      </w:r>
      <w:r>
        <w:rPr>
          <w:rFonts w:ascii="Palatino Linotype" w:eastAsia="Palatino Linotype" w:hAnsi="Palatino Linotype" w:cs="Palatino Linotype"/>
          <w:sz w:val="18"/>
          <w:vertAlign w:val="superscript"/>
        </w:rPr>
        <w:t>4</w:t>
      </w:r>
      <w:r>
        <w:rPr>
          <w:rFonts w:ascii="Palatino Linotype" w:eastAsia="Palatino Linotype" w:hAnsi="Palatino Linotype" w:cs="Palatino Linotype"/>
          <w:sz w:val="18"/>
        </w:rPr>
        <w:t xml:space="preserve"> hücre olacak şekilde ekildi. Hücreler son konsantrasyon 5, 10, 20, 40, 80 ve 100 μM olacak şekilde 24 saat vinorelbin (Stok konsantrasyon: 12.8 mM, Pierre Fabre) uygulandı. Aynı zamanda hiç ilaç uygulanmayan bir grup hücre de kontrol gru</w:t>
      </w:r>
      <w:r>
        <w:rPr>
          <w:rFonts w:ascii="Palatino Linotype" w:eastAsia="Palatino Linotype" w:hAnsi="Palatino Linotype" w:cs="Palatino Linotype"/>
          <w:sz w:val="18"/>
        </w:rPr>
        <w:t>bunu oluşturdu. Her bir konsantrasyon için deney üç kez tekrarlandı. Vinorelbinin hücre canlılığı üzerine etkisi “Cell Proliferation Kit II (XTT)” (Roche, Almanya) kullanılarak değerlendirildi. Kültür süresinin dolmasıyla hücrelere XTT çözeltisi (2,3‐bis [</w:t>
      </w:r>
      <w:r>
        <w:rPr>
          <w:rFonts w:ascii="Palatino Linotype" w:eastAsia="Palatino Linotype" w:hAnsi="Palatino Linotype" w:cs="Palatino Linotype"/>
          <w:sz w:val="18"/>
        </w:rPr>
        <w:t xml:space="preserve">2 – metoksi – 4 – nitro – 5 sulfofenil] – 2H – tetrazolyum – 5 – karboksianilid tuzu) eklenip 4 saat beklenildi. Süre sonunda 490nm dalga boyundaki absorbans değerleri mikroplaka okuyucu (BioTek ELx800, ABD) ile saptandı. Kontrole göre absorbans değerleri </w:t>
      </w:r>
      <w:r>
        <w:rPr>
          <w:rFonts w:ascii="Palatino Linotype" w:eastAsia="Palatino Linotype" w:hAnsi="Palatino Linotype" w:cs="Palatino Linotype"/>
          <w:sz w:val="18"/>
        </w:rPr>
        <w:t xml:space="preserve">oranlanarak sitotoksisite belirlendi. </w:t>
      </w:r>
    </w:p>
    <w:p w:rsidR="00F77591" w:rsidRDefault="004A07C1">
      <w:pPr>
        <w:pStyle w:val="Balk1"/>
        <w:ind w:left="-5"/>
      </w:pPr>
      <w:r>
        <w:t>Apoptozun</w:t>
      </w:r>
      <w:r>
        <w:t xml:space="preserve"> </w:t>
      </w:r>
      <w:r>
        <w:t>Morfolojik</w:t>
      </w:r>
      <w:r>
        <w:t xml:space="preserve"> </w:t>
      </w:r>
      <w:r>
        <w:t>De</w:t>
      </w:r>
      <w:r>
        <w:t>ğ</w:t>
      </w:r>
      <w:r>
        <w:t>erlendirilmesi</w:t>
      </w:r>
      <w:r>
        <w:t xml:space="preserve">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 xml:space="preserve">HeLa hücreleri, 5μM–100μM aralığında değişen dozlarda vinorelbin ile 24 saat inkübe edildikten sonra, canlı, apoptotik ve nekrotik hücrelerin oranları, hücreler Akridin Oranj </w:t>
      </w:r>
      <w:r>
        <w:rPr>
          <w:rFonts w:ascii="Palatino Linotype" w:eastAsia="Palatino Linotype" w:hAnsi="Palatino Linotype" w:cs="Palatino Linotype"/>
          <w:sz w:val="18"/>
        </w:rPr>
        <w:t>(AO)/ Etidyum Bromür (EtBr) ile boyanarak floresan mikroskobunda (Olympus BX‐50, Japonya) sayılarak belirlendi. Stok AO ve EtBr boyaları son konsantrasyonu 100μg/ml olacak şekilde fosfat tamponunda (PBS) hazırlandı. Hücre kültür süresinin dolması ile hücre</w:t>
      </w:r>
      <w:r>
        <w:rPr>
          <w:rFonts w:ascii="Palatino Linotype" w:eastAsia="Palatino Linotype" w:hAnsi="Palatino Linotype" w:cs="Palatino Linotype"/>
          <w:sz w:val="18"/>
        </w:rPr>
        <w:t xml:space="preserve">ler 3’er μl AO ve EtBr ile boyanarak floresan mikroskobunda incelendi. AO canlı hücrelerin çekirdeklerinin yeşil renkte görünmesini sağlarken, etidyum bromür nekrotik hücrelerin çekirdeklerinin kırmızı renkte görünmesine neden olur. Apoptotik hücreler ise </w:t>
      </w:r>
      <w:r>
        <w:rPr>
          <w:rFonts w:ascii="Palatino Linotype" w:eastAsia="Palatino Linotype" w:hAnsi="Palatino Linotype" w:cs="Palatino Linotype"/>
          <w:sz w:val="18"/>
        </w:rPr>
        <w:t xml:space="preserve">karakteristik parçalanmış nükleus görünümü ile turuncunun değişik tonları şeklinde gözlenir (28). Her bir vinorelbin dozu için deney 3 kez tekrarlanarak ortalama canlı, apoptotik ve nekrotik hücre sayıları belirlendi. </w:t>
      </w:r>
    </w:p>
    <w:p w:rsidR="00F77591" w:rsidRDefault="004A07C1">
      <w:pPr>
        <w:pStyle w:val="Balk1"/>
        <w:ind w:left="-5"/>
      </w:pPr>
      <w:r>
        <w:t>RNA</w:t>
      </w:r>
      <w:r>
        <w:t xml:space="preserve"> İ</w:t>
      </w:r>
      <w:r>
        <w:t>zolasyonu</w:t>
      </w:r>
      <w:r>
        <w:t xml:space="preserve"> </w:t>
      </w:r>
      <w:r>
        <w:t>ve</w:t>
      </w:r>
      <w:r>
        <w:t xml:space="preserve"> </w:t>
      </w:r>
      <w:r>
        <w:t>cDNA</w:t>
      </w:r>
      <w:r>
        <w:t xml:space="preserve"> </w:t>
      </w:r>
      <w:r>
        <w:t>Sentezi</w:t>
      </w:r>
      <w:r>
        <w:t xml:space="preserve"> </w:t>
      </w:r>
    </w:p>
    <w:p w:rsidR="00F77591" w:rsidRDefault="004A07C1">
      <w:pPr>
        <w:spacing w:after="17"/>
        <w:jc w:val="right"/>
      </w:pPr>
      <w:r>
        <w:rPr>
          <w:rFonts w:ascii="Palatino Linotype" w:eastAsia="Palatino Linotype" w:hAnsi="Palatino Linotype" w:cs="Palatino Linotype"/>
          <w:sz w:val="18"/>
        </w:rPr>
        <w:t xml:space="preserve">HeLa </w:t>
      </w:r>
      <w:r>
        <w:rPr>
          <w:rFonts w:ascii="Palatino Linotype" w:eastAsia="Palatino Linotype" w:hAnsi="Palatino Linotype" w:cs="Palatino Linotype"/>
          <w:sz w:val="18"/>
        </w:rPr>
        <w:t xml:space="preserve">hücreleri 20 ve 40μM’lık dozlarda vinorelbin ile </w:t>
      </w:r>
    </w:p>
    <w:p w:rsidR="00F77591" w:rsidRDefault="004A07C1">
      <w:pPr>
        <w:spacing w:after="6" w:line="270" w:lineRule="auto"/>
        <w:ind w:left="-15" w:right="31"/>
        <w:jc w:val="both"/>
      </w:pPr>
      <w:r>
        <w:rPr>
          <w:rFonts w:ascii="Palatino Linotype" w:eastAsia="Palatino Linotype" w:hAnsi="Palatino Linotype" w:cs="Palatino Linotype"/>
          <w:sz w:val="18"/>
        </w:rPr>
        <w:t>24 saat inkübe edildikten sonra “High Pure RNA Isolation Kit” (Roche, Almanya) kullanılarak, üretici firmanın öngördüğü protokole göre RNA izolasyonu yapıldı. Elde edilen RNA’lar spektrofotometrede (NanoDro</w:t>
      </w:r>
      <w:r>
        <w:rPr>
          <w:rFonts w:ascii="Palatino Linotype" w:eastAsia="Palatino Linotype" w:hAnsi="Palatino Linotype" w:cs="Palatino Linotype"/>
          <w:sz w:val="18"/>
        </w:rPr>
        <w:t xml:space="preserve">p ND‐1000, NanoDrop Technologies, ABD) 260 nm dalga boyunda ölçülerek μl/μg değerleri belirlendi. Primer olarak random hekzamerler kullanılarak “Transcriptor First Strand cDNA </w:t>
      </w:r>
      <w:r>
        <w:rPr>
          <w:rFonts w:ascii="Palatino Linotype" w:eastAsia="Palatino Linotype" w:hAnsi="Palatino Linotype" w:cs="Palatino Linotype"/>
          <w:sz w:val="18"/>
        </w:rPr>
        <w:lastRenderedPageBreak/>
        <w:t>Sentez Kiti” (Roche, Almanya) ile 1μg total RNA’dan üretici firmanın protokolü t</w:t>
      </w:r>
      <w:r>
        <w:rPr>
          <w:rFonts w:ascii="Palatino Linotype" w:eastAsia="Palatino Linotype" w:hAnsi="Palatino Linotype" w:cs="Palatino Linotype"/>
          <w:sz w:val="18"/>
        </w:rPr>
        <w:t>akip edilerek cDNA sentezi ya‐</w:t>
      </w:r>
    </w:p>
    <w:p w:rsidR="00F77591" w:rsidRDefault="004A07C1">
      <w:pPr>
        <w:spacing w:after="126" w:line="270" w:lineRule="auto"/>
        <w:ind w:left="-15" w:right="31"/>
        <w:jc w:val="both"/>
      </w:pPr>
      <w:r>
        <w:rPr>
          <w:rFonts w:ascii="Palatino Linotype" w:eastAsia="Palatino Linotype" w:hAnsi="Palatino Linotype" w:cs="Palatino Linotype"/>
          <w:sz w:val="18"/>
        </w:rPr>
        <w:t xml:space="preserve">pıldı. </w:t>
      </w:r>
    </w:p>
    <w:p w:rsidR="00F77591" w:rsidRDefault="004A07C1">
      <w:pPr>
        <w:pStyle w:val="Balk1"/>
        <w:ind w:left="-5"/>
      </w:pPr>
      <w:r>
        <w:t>RT</w:t>
      </w:r>
      <w:r>
        <w:t>‐</w:t>
      </w:r>
      <w:r>
        <w:t>PCR</w:t>
      </w:r>
      <w:r>
        <w:t xml:space="preserve"> </w:t>
      </w:r>
      <w:r>
        <w:t>Yöntemi</w:t>
      </w:r>
      <w:r>
        <w:t xml:space="preserve"> </w:t>
      </w:r>
      <w:r>
        <w:t>ile</w:t>
      </w:r>
      <w:r>
        <w:t xml:space="preserve"> </w:t>
      </w:r>
      <w:r>
        <w:t>BCL2</w:t>
      </w:r>
      <w:r>
        <w:t xml:space="preserve"> </w:t>
      </w:r>
      <w:r>
        <w:t>ve</w:t>
      </w:r>
      <w:r>
        <w:t xml:space="preserve"> </w:t>
      </w:r>
      <w:r>
        <w:t>CCDN1</w:t>
      </w:r>
      <w:r>
        <w:t xml:space="preserve"> </w:t>
      </w:r>
      <w:r>
        <w:t>mRNA’lar</w:t>
      </w:r>
      <w:r>
        <w:t>ı</w:t>
      </w:r>
      <w:r>
        <w:t>n</w:t>
      </w:r>
      <w:r>
        <w:t>ı</w:t>
      </w:r>
      <w:r>
        <w:t>n</w:t>
      </w:r>
      <w:r>
        <w:t xml:space="preserve"> </w:t>
      </w:r>
      <w:r>
        <w:t>Kantitatif</w:t>
      </w:r>
      <w:r>
        <w:t xml:space="preserve"> </w:t>
      </w:r>
      <w:r>
        <w:t>Ekspresyonu</w:t>
      </w:r>
      <w:r>
        <w:t xml:space="preserve"> İ</w:t>
      </w:r>
      <w:r>
        <w:t>fadesi</w:t>
      </w:r>
      <w:r>
        <w:t xml:space="preserve"> </w:t>
      </w:r>
    </w:p>
    <w:p w:rsidR="00F77591" w:rsidRDefault="004A07C1">
      <w:pPr>
        <w:spacing w:after="84" w:line="270" w:lineRule="auto"/>
        <w:ind w:left="-15" w:right="31" w:firstLine="275"/>
        <w:jc w:val="both"/>
      </w:pPr>
      <w:r>
        <w:rPr>
          <w:rFonts w:ascii="Palatino Linotype" w:eastAsia="Palatino Linotype" w:hAnsi="Palatino Linotype" w:cs="Palatino Linotype"/>
          <w:sz w:val="18"/>
        </w:rPr>
        <w:t>Elde edilen cDNA örneklerinden, hücre çoğalması ile apoptotik yolaklarda görevli olan CCDN1 ve BCL2 genlerinin mRNA ifade düzeyleri, nicele</w:t>
      </w:r>
      <w:r>
        <w:rPr>
          <w:rFonts w:ascii="Palatino Linotype" w:eastAsia="Palatino Linotype" w:hAnsi="Palatino Linotype" w:cs="Palatino Linotype"/>
          <w:sz w:val="18"/>
        </w:rPr>
        <w:t>yici Real‐Time PCR yöntemi ile Light Cycler 480 (Roche Diagnostik, Almanya) cihazı kullanılarak belirlendi. Araştırılan genlerin cDNA’larına özgül olan primer dizileri ve “Universal Probe Library (UPL)” numaraları Tablo I’de verilmiştir. Amplifikasyonlar 2</w:t>
      </w:r>
      <w:r>
        <w:rPr>
          <w:rFonts w:ascii="Palatino Linotype" w:eastAsia="Palatino Linotype" w:hAnsi="Palatino Linotype" w:cs="Palatino Linotype"/>
          <w:sz w:val="18"/>
        </w:rPr>
        <w:t>0μL toplam tepkime hacmi içerisinde; cDNA, mRNA’ya özgü primerler, UPL probu, LightCycler TaqMan Master karışımı (Roche, Almanya) ve distile su kullanılarak gerçekleştirildi. CCDN1 ve BCL2 gen ifade düzeylerini normalize etmek için GAPDH mRNA düzeyi refera</w:t>
      </w:r>
      <w:r>
        <w:rPr>
          <w:rFonts w:ascii="Palatino Linotype" w:eastAsia="Palatino Linotype" w:hAnsi="Palatino Linotype" w:cs="Palatino Linotype"/>
          <w:sz w:val="18"/>
        </w:rPr>
        <w:t xml:space="preserve">ns olarak alındı. Her bir konsantrasyon için deney üç kez tekrarlandı.  </w:t>
      </w:r>
    </w:p>
    <w:p w:rsidR="00F77591" w:rsidRDefault="004A07C1">
      <w:pPr>
        <w:pStyle w:val="Balk1"/>
        <w:spacing w:after="78"/>
        <w:ind w:left="-5"/>
      </w:pPr>
      <w:r>
        <w:t>İ</w:t>
      </w:r>
      <w:r>
        <w:t>statistiksel</w:t>
      </w:r>
      <w:r>
        <w:t xml:space="preserve"> </w:t>
      </w:r>
      <w:r>
        <w:t>Analizler</w:t>
      </w:r>
      <w:r>
        <w:t xml:space="preserve"> </w:t>
      </w:r>
    </w:p>
    <w:p w:rsidR="00F77591" w:rsidRDefault="004A07C1">
      <w:pPr>
        <w:spacing w:after="55" w:line="270" w:lineRule="auto"/>
        <w:ind w:left="-15" w:right="31" w:firstLine="275"/>
        <w:jc w:val="both"/>
      </w:pPr>
      <w:r>
        <w:rPr>
          <w:rFonts w:ascii="Palatino Linotype" w:eastAsia="Palatino Linotype" w:hAnsi="Palatino Linotype" w:cs="Palatino Linotype"/>
          <w:sz w:val="18"/>
        </w:rPr>
        <w:t xml:space="preserve">Hücre canlılığı, apoptoz ve nekrotik oranlardaki değişimler “tek yönlü Anova” testiyle SPSS 15.0 istatistik programı kullanılarak değerlendirildi. Vinorelbin </w:t>
      </w:r>
      <w:r>
        <w:rPr>
          <w:rFonts w:ascii="Palatino Linotype" w:eastAsia="Palatino Linotype" w:hAnsi="Palatino Linotype" w:cs="Palatino Linotype"/>
          <w:sz w:val="18"/>
        </w:rPr>
        <w:t xml:space="preserve">dozlarına bağlı olarak değişen, CCDN1 ve BCL2 mRNA ifade düzeylerindeki farklılıklar “REST (2009 V2.0.13)” istatistik programı ile karşılaştırıldı (29). 0,05’den küçük olan </w:t>
      </w:r>
      <w:r>
        <w:rPr>
          <w:rFonts w:ascii="Palatino Linotype" w:eastAsia="Palatino Linotype" w:hAnsi="Palatino Linotype" w:cs="Palatino Linotype"/>
          <w:i/>
          <w:sz w:val="18"/>
        </w:rPr>
        <w:t>p</w:t>
      </w:r>
      <w:r>
        <w:rPr>
          <w:rFonts w:ascii="Palatino Linotype" w:eastAsia="Palatino Linotype" w:hAnsi="Palatino Linotype" w:cs="Palatino Linotype"/>
          <w:sz w:val="18"/>
        </w:rPr>
        <w:t xml:space="preserve"> de‐</w:t>
      </w:r>
    </w:p>
    <w:p w:rsidR="00F77591" w:rsidRDefault="004A07C1">
      <w:pPr>
        <w:spacing w:after="154"/>
        <w:ind w:left="285"/>
      </w:pPr>
      <w:r>
        <w:rPr>
          <w:rFonts w:ascii="Palatino Linotype" w:eastAsia="Palatino Linotype" w:hAnsi="Palatino Linotype" w:cs="Palatino Linotype"/>
          <w:sz w:val="18"/>
        </w:rPr>
        <w:t xml:space="preserve"> </w:t>
      </w:r>
    </w:p>
    <w:p w:rsidR="00F77591" w:rsidRDefault="004A07C1">
      <w:pPr>
        <w:spacing w:after="184"/>
      </w:pPr>
      <w:r>
        <w:rPr>
          <w:rFonts w:ascii="Book Antiqua" w:eastAsia="Book Antiqua" w:hAnsi="Book Antiqua" w:cs="Book Antiqua"/>
          <w:b/>
          <w:sz w:val="26"/>
        </w:rPr>
        <w:t xml:space="preserve"> </w:t>
      </w:r>
    </w:p>
    <w:p w:rsidR="00F77591" w:rsidRDefault="004A07C1">
      <w:pPr>
        <w:spacing w:after="9" w:line="249" w:lineRule="auto"/>
        <w:ind w:left="-5" w:hanging="10"/>
      </w:pPr>
      <w:r>
        <w:rPr>
          <w:rFonts w:ascii="Book Antiqua" w:eastAsia="Book Antiqua" w:hAnsi="Book Antiqua" w:cs="Book Antiqua"/>
          <w:b/>
          <w:sz w:val="16"/>
        </w:rPr>
        <w:t xml:space="preserve">Tablo I.  </w:t>
      </w:r>
      <w:r>
        <w:rPr>
          <w:rFonts w:ascii="Book Antiqua" w:eastAsia="Book Antiqua" w:hAnsi="Book Antiqua" w:cs="Book Antiqua"/>
          <w:sz w:val="16"/>
        </w:rPr>
        <w:t xml:space="preserve"> Real Time PCR’da kullanılan primerler ve UPL problar </w:t>
      </w:r>
    </w:p>
    <w:p w:rsidR="00F77591" w:rsidRDefault="004A07C1">
      <w:pPr>
        <w:spacing w:after="126" w:line="270" w:lineRule="auto"/>
        <w:ind w:left="-15" w:right="31"/>
        <w:jc w:val="both"/>
      </w:pPr>
      <w:r>
        <w:rPr>
          <w:rFonts w:ascii="Palatino Linotype" w:eastAsia="Palatino Linotype" w:hAnsi="Palatino Linotype" w:cs="Palatino Linotype"/>
          <w:sz w:val="18"/>
        </w:rPr>
        <w:t xml:space="preserve">ğerleri </w:t>
      </w:r>
      <w:r>
        <w:rPr>
          <w:rFonts w:ascii="Palatino Linotype" w:eastAsia="Palatino Linotype" w:hAnsi="Palatino Linotype" w:cs="Palatino Linotype"/>
          <w:sz w:val="18"/>
        </w:rPr>
        <w:t xml:space="preserve">istatistiksel açıdan anlamlı olarak kabul edildi. </w:t>
      </w:r>
    </w:p>
    <w:p w:rsidR="00F77591" w:rsidRDefault="004A07C1">
      <w:pPr>
        <w:pStyle w:val="Balk1"/>
        <w:ind w:left="-5"/>
      </w:pPr>
      <w:r>
        <w:t>BULGULAR</w:t>
      </w:r>
      <w:r>
        <w:t xml:space="preserve">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HeLa hücrelerinin 24 saat vinorelbin ile inkübasyonu sonucunda elde edilen hücre canlılığına ait ilişkin bulgular Şekil 2’de verilmiştir. Buna göre HeLa hücrelerinin canlılıklarında, artan vinore</w:t>
      </w:r>
      <w:r>
        <w:rPr>
          <w:rFonts w:ascii="Palatino Linotype" w:eastAsia="Palatino Linotype" w:hAnsi="Palatino Linotype" w:cs="Palatino Linotype"/>
          <w:sz w:val="18"/>
        </w:rPr>
        <w:t>lbin konsantrasyonuna bağlı dereceli bir azalma belirlendi. En yüksek vinorelbin konsantrasyonu olan 100μMʹda hücre canlılığının %60’ın altına düştüğü gözlendi. Her ne kadar bu dozda gözlenen apoptotik hücrelerin ortalama değerleri en yüksek görülse de (Ta</w:t>
      </w:r>
      <w:r>
        <w:rPr>
          <w:rFonts w:ascii="Palatino Linotype" w:eastAsia="Palatino Linotype" w:hAnsi="Palatino Linotype" w:cs="Palatino Linotype"/>
          <w:sz w:val="18"/>
        </w:rPr>
        <w:t xml:space="preserve">blo II) (Şekil 4), en yüksek nekrotik artışın eşlik ettiği sitotoksik bir durum da gözlenmiştir. Hücre canlılığında gözlenen bu azalmanın 80 ve 100μMʹlık dozlarda daha keskin bir düşüşe neden olduğu XTT analiz sonuçlarımız ile de örtüşmektedir (Şekil 2).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Vinorelbinin HeLa hücrelerinin canlılık oranlarında neden olduğu azalmanın apoptotik hücre ölümünden mi yoksa nekrotik hücre ölümünden mi kaynaklandığını anlamak amacıyla hücreler AO/EtBr boyaması sonrasında floresan mikroskobunda sayılarak değerlendirild</w:t>
      </w:r>
      <w:r>
        <w:rPr>
          <w:rFonts w:ascii="Palatino Linotype" w:eastAsia="Palatino Linotype" w:hAnsi="Palatino Linotype" w:cs="Palatino Linotype"/>
          <w:sz w:val="18"/>
        </w:rPr>
        <w:t>i (Şekil 3). Floresan mikroskobunda yapılan analizin sonuçları Tablo II ve Şekil 4’te görülmektedir. HeLa hücrelerine 24 saat vinorelbin uygulandığında 5μM ve 10μM konsantrasyonda belirlenen apoptotik hücre ortalama değerlerinin, kontrol hücreleri ile karş</w:t>
      </w:r>
      <w:r>
        <w:rPr>
          <w:rFonts w:ascii="Palatino Linotype" w:eastAsia="Palatino Linotype" w:hAnsi="Palatino Linotype" w:cs="Palatino Linotype"/>
          <w:sz w:val="18"/>
        </w:rPr>
        <w:t>ılaştırıldığında istatiksel açıdan anlamlı bir fark oluşturmadığı görüldü (</w:t>
      </w:r>
      <w:r>
        <w:rPr>
          <w:rFonts w:ascii="Palatino Linotype" w:eastAsia="Palatino Linotype" w:hAnsi="Palatino Linotype" w:cs="Palatino Linotype"/>
          <w:i/>
          <w:sz w:val="18"/>
        </w:rPr>
        <w:t>p</w:t>
      </w:r>
      <w:r>
        <w:rPr>
          <w:rFonts w:ascii="Palatino Linotype" w:eastAsia="Palatino Linotype" w:hAnsi="Palatino Linotype" w:cs="Palatino Linotype"/>
          <w:sz w:val="18"/>
        </w:rPr>
        <w:t>&gt;0,05). Buna karşın daha yüksek dozlarda (20‐100μM) vinorelbin uygulamasında ise elde edilen apoptotik ortalama değerlerinin anlamlı olduğu bulundu (</w:t>
      </w:r>
      <w:r>
        <w:rPr>
          <w:rFonts w:ascii="Palatino Linotype" w:eastAsia="Palatino Linotype" w:hAnsi="Palatino Linotype" w:cs="Palatino Linotype"/>
          <w:i/>
          <w:sz w:val="18"/>
        </w:rPr>
        <w:t>p</w:t>
      </w:r>
      <w:r>
        <w:rPr>
          <w:rFonts w:ascii="Palatino Linotype" w:eastAsia="Palatino Linotype" w:hAnsi="Palatino Linotype" w:cs="Palatino Linotype"/>
          <w:sz w:val="18"/>
        </w:rPr>
        <w:t xml:space="preserve">&lt;0,05).  </w:t>
      </w:r>
    </w:p>
    <w:p w:rsidR="00F77591" w:rsidRDefault="00F77591">
      <w:pPr>
        <w:sectPr w:rsidR="00F77591">
          <w:type w:val="continuous"/>
          <w:pgSz w:w="11904" w:h="16840"/>
          <w:pgMar w:top="1518" w:right="1131" w:bottom="2476" w:left="1134" w:header="708" w:footer="708" w:gutter="0"/>
          <w:cols w:num="2" w:space="237"/>
        </w:sectPr>
      </w:pPr>
    </w:p>
    <w:tbl>
      <w:tblPr>
        <w:tblStyle w:val="TableGrid"/>
        <w:tblW w:w="9296" w:type="dxa"/>
        <w:tblInd w:w="-14" w:type="dxa"/>
        <w:tblCellMar>
          <w:top w:w="39" w:type="dxa"/>
          <w:left w:w="0" w:type="dxa"/>
          <w:bottom w:w="0" w:type="dxa"/>
          <w:right w:w="69" w:type="dxa"/>
        </w:tblCellMar>
        <w:tblLook w:val="04A0" w:firstRow="1" w:lastRow="0" w:firstColumn="1" w:lastColumn="0" w:noHBand="0" w:noVBand="1"/>
      </w:tblPr>
      <w:tblGrid>
        <w:gridCol w:w="1202"/>
        <w:gridCol w:w="3581"/>
        <w:gridCol w:w="3520"/>
        <w:gridCol w:w="537"/>
        <w:gridCol w:w="456"/>
      </w:tblGrid>
      <w:tr w:rsidR="00F77591">
        <w:trPr>
          <w:trHeight w:val="490"/>
        </w:trPr>
        <w:tc>
          <w:tcPr>
            <w:tcW w:w="1202" w:type="dxa"/>
            <w:tcBorders>
              <w:top w:val="single" w:sz="4" w:space="0" w:color="000000"/>
              <w:left w:val="nil"/>
              <w:bottom w:val="single" w:sz="4" w:space="0" w:color="000000"/>
              <w:right w:val="nil"/>
            </w:tcBorders>
          </w:tcPr>
          <w:p w:rsidR="00F77591" w:rsidRDefault="004A07C1">
            <w:pPr>
              <w:spacing w:after="0"/>
              <w:ind w:left="122"/>
            </w:pPr>
            <w:r>
              <w:rPr>
                <w:rFonts w:ascii="Book Antiqua" w:eastAsia="Book Antiqua" w:hAnsi="Book Antiqua" w:cs="Book Antiqua"/>
                <w:b/>
                <w:sz w:val="16"/>
              </w:rPr>
              <w:t xml:space="preserve">Gen </w:t>
            </w:r>
          </w:p>
        </w:tc>
        <w:tc>
          <w:tcPr>
            <w:tcW w:w="3581" w:type="dxa"/>
            <w:tcBorders>
              <w:top w:val="single" w:sz="4" w:space="0" w:color="000000"/>
              <w:left w:val="nil"/>
              <w:bottom w:val="single" w:sz="4" w:space="0" w:color="000000"/>
              <w:right w:val="nil"/>
            </w:tcBorders>
          </w:tcPr>
          <w:p w:rsidR="00F77591" w:rsidRDefault="004A07C1">
            <w:pPr>
              <w:spacing w:after="0"/>
            </w:pPr>
            <w:r>
              <w:rPr>
                <w:rFonts w:ascii="Book Antiqua" w:eastAsia="Book Antiqua" w:hAnsi="Book Antiqua" w:cs="Book Antiqua"/>
                <w:b/>
                <w:sz w:val="16"/>
              </w:rPr>
              <w:t xml:space="preserve">Forward Primer </w:t>
            </w:r>
          </w:p>
        </w:tc>
        <w:tc>
          <w:tcPr>
            <w:tcW w:w="3520" w:type="dxa"/>
            <w:tcBorders>
              <w:top w:val="single" w:sz="4" w:space="0" w:color="000000"/>
              <w:left w:val="nil"/>
              <w:bottom w:val="single" w:sz="4" w:space="0" w:color="000000"/>
              <w:right w:val="nil"/>
            </w:tcBorders>
          </w:tcPr>
          <w:p w:rsidR="00F77591" w:rsidRDefault="004A07C1">
            <w:pPr>
              <w:spacing w:after="0"/>
            </w:pPr>
            <w:r>
              <w:rPr>
                <w:rFonts w:ascii="Book Antiqua" w:eastAsia="Book Antiqua" w:hAnsi="Book Antiqua" w:cs="Book Antiqua"/>
                <w:b/>
                <w:sz w:val="16"/>
              </w:rPr>
              <w:t xml:space="preserve">Reverse Primer </w:t>
            </w:r>
          </w:p>
        </w:tc>
        <w:tc>
          <w:tcPr>
            <w:tcW w:w="537" w:type="dxa"/>
            <w:tcBorders>
              <w:top w:val="single" w:sz="4" w:space="0" w:color="000000"/>
              <w:left w:val="nil"/>
              <w:bottom w:val="single" w:sz="4" w:space="0" w:color="000000"/>
              <w:right w:val="nil"/>
            </w:tcBorders>
          </w:tcPr>
          <w:p w:rsidR="00F77591" w:rsidRDefault="004A07C1">
            <w:pPr>
              <w:spacing w:after="0"/>
              <w:ind w:left="1" w:hanging="1"/>
            </w:pPr>
            <w:r>
              <w:rPr>
                <w:rFonts w:ascii="Book Antiqua" w:eastAsia="Book Antiqua" w:hAnsi="Book Antiqua" w:cs="Book Antiqua"/>
                <w:b/>
                <w:sz w:val="16"/>
              </w:rPr>
              <w:t xml:space="preserve">UPL No. </w:t>
            </w:r>
          </w:p>
        </w:tc>
        <w:tc>
          <w:tcPr>
            <w:tcW w:w="456" w:type="dxa"/>
            <w:tcBorders>
              <w:top w:val="single" w:sz="4" w:space="0" w:color="000000"/>
              <w:left w:val="nil"/>
              <w:bottom w:val="single" w:sz="4" w:space="0" w:color="000000"/>
              <w:right w:val="nil"/>
            </w:tcBorders>
          </w:tcPr>
          <w:p w:rsidR="00F77591" w:rsidRDefault="004A07C1">
            <w:pPr>
              <w:spacing w:after="0"/>
              <w:jc w:val="both"/>
            </w:pPr>
            <w:r>
              <w:rPr>
                <w:rFonts w:ascii="Book Antiqua" w:eastAsia="Book Antiqua" w:hAnsi="Book Antiqua" w:cs="Book Antiqua"/>
                <w:b/>
                <w:sz w:val="16"/>
              </w:rPr>
              <w:t xml:space="preserve">Prob </w:t>
            </w:r>
          </w:p>
        </w:tc>
      </w:tr>
      <w:tr w:rsidR="00F77591">
        <w:trPr>
          <w:trHeight w:val="284"/>
        </w:trPr>
        <w:tc>
          <w:tcPr>
            <w:tcW w:w="1202" w:type="dxa"/>
            <w:tcBorders>
              <w:top w:val="single" w:sz="4" w:space="0" w:color="000000"/>
              <w:left w:val="nil"/>
              <w:bottom w:val="nil"/>
              <w:right w:val="nil"/>
            </w:tcBorders>
          </w:tcPr>
          <w:p w:rsidR="00F77591" w:rsidRDefault="004A07C1">
            <w:pPr>
              <w:spacing w:after="0"/>
              <w:ind w:left="122"/>
            </w:pPr>
            <w:r>
              <w:rPr>
                <w:rFonts w:ascii="Book Antiqua" w:eastAsia="Book Antiqua" w:hAnsi="Book Antiqua" w:cs="Book Antiqua"/>
                <w:sz w:val="16"/>
              </w:rPr>
              <w:t xml:space="preserve">CCND1 </w:t>
            </w:r>
          </w:p>
        </w:tc>
        <w:tc>
          <w:tcPr>
            <w:tcW w:w="3581" w:type="dxa"/>
            <w:tcBorders>
              <w:top w:val="single" w:sz="4" w:space="0" w:color="000000"/>
              <w:left w:val="nil"/>
              <w:bottom w:val="nil"/>
              <w:right w:val="nil"/>
            </w:tcBorders>
          </w:tcPr>
          <w:p w:rsidR="00F77591" w:rsidRDefault="004A07C1">
            <w:pPr>
              <w:spacing w:after="0"/>
            </w:pPr>
            <w:r>
              <w:rPr>
                <w:rFonts w:ascii="Book Antiqua" w:eastAsia="Book Antiqua" w:hAnsi="Book Antiqua" w:cs="Book Antiqua"/>
                <w:sz w:val="16"/>
              </w:rPr>
              <w:t xml:space="preserve">5’- TGTCCTACTACCGCCTCACA -3’ </w:t>
            </w:r>
          </w:p>
        </w:tc>
        <w:tc>
          <w:tcPr>
            <w:tcW w:w="3520" w:type="dxa"/>
            <w:tcBorders>
              <w:top w:val="single" w:sz="4" w:space="0" w:color="000000"/>
              <w:left w:val="nil"/>
              <w:bottom w:val="nil"/>
              <w:right w:val="nil"/>
            </w:tcBorders>
          </w:tcPr>
          <w:p w:rsidR="00F77591" w:rsidRDefault="004A07C1">
            <w:pPr>
              <w:spacing w:after="0"/>
              <w:ind w:left="2"/>
            </w:pPr>
            <w:r>
              <w:rPr>
                <w:rFonts w:ascii="Book Antiqua" w:eastAsia="Book Antiqua" w:hAnsi="Book Antiqua" w:cs="Book Antiqua"/>
                <w:sz w:val="16"/>
              </w:rPr>
              <w:t xml:space="preserve">5’- CAGGGCTTCGATCTGCTC -3’ </w:t>
            </w:r>
          </w:p>
        </w:tc>
        <w:tc>
          <w:tcPr>
            <w:tcW w:w="537" w:type="dxa"/>
            <w:tcBorders>
              <w:top w:val="single" w:sz="4" w:space="0" w:color="000000"/>
              <w:left w:val="nil"/>
              <w:bottom w:val="nil"/>
              <w:right w:val="nil"/>
            </w:tcBorders>
          </w:tcPr>
          <w:p w:rsidR="00F77591" w:rsidRDefault="004A07C1">
            <w:pPr>
              <w:spacing w:after="0"/>
              <w:ind w:left="2"/>
            </w:pPr>
            <w:r>
              <w:rPr>
                <w:rFonts w:ascii="Book Antiqua" w:eastAsia="Book Antiqua" w:hAnsi="Book Antiqua" w:cs="Book Antiqua"/>
                <w:sz w:val="16"/>
              </w:rPr>
              <w:t xml:space="preserve">16 </w:t>
            </w:r>
          </w:p>
        </w:tc>
        <w:tc>
          <w:tcPr>
            <w:tcW w:w="456" w:type="dxa"/>
            <w:tcBorders>
              <w:top w:val="single" w:sz="4" w:space="0" w:color="000000"/>
              <w:left w:val="nil"/>
              <w:bottom w:val="nil"/>
              <w:right w:val="nil"/>
            </w:tcBorders>
          </w:tcPr>
          <w:p w:rsidR="00F77591" w:rsidRDefault="00F77591"/>
        </w:tc>
      </w:tr>
      <w:tr w:rsidR="00F77591">
        <w:trPr>
          <w:trHeight w:val="241"/>
        </w:trPr>
        <w:tc>
          <w:tcPr>
            <w:tcW w:w="1202" w:type="dxa"/>
            <w:tcBorders>
              <w:top w:val="nil"/>
              <w:left w:val="nil"/>
              <w:bottom w:val="nil"/>
              <w:right w:val="nil"/>
            </w:tcBorders>
          </w:tcPr>
          <w:p w:rsidR="00F77591" w:rsidRDefault="004A07C1">
            <w:pPr>
              <w:spacing w:after="0"/>
              <w:ind w:left="122"/>
            </w:pPr>
            <w:r>
              <w:rPr>
                <w:rFonts w:ascii="Book Antiqua" w:eastAsia="Book Antiqua" w:hAnsi="Book Antiqua" w:cs="Book Antiqua"/>
                <w:sz w:val="16"/>
              </w:rPr>
              <w:t xml:space="preserve">BCL2 </w:t>
            </w:r>
          </w:p>
        </w:tc>
        <w:tc>
          <w:tcPr>
            <w:tcW w:w="3581" w:type="dxa"/>
            <w:tcBorders>
              <w:top w:val="nil"/>
              <w:left w:val="nil"/>
              <w:bottom w:val="nil"/>
              <w:right w:val="nil"/>
            </w:tcBorders>
          </w:tcPr>
          <w:p w:rsidR="00F77591" w:rsidRDefault="004A07C1">
            <w:pPr>
              <w:spacing w:after="0"/>
            </w:pPr>
            <w:r>
              <w:rPr>
                <w:rFonts w:ascii="Book Antiqua" w:eastAsia="Book Antiqua" w:hAnsi="Book Antiqua" w:cs="Book Antiqua"/>
                <w:sz w:val="16"/>
              </w:rPr>
              <w:t xml:space="preserve">5’-AGTACCTGAACCGGCACCT-3’ </w:t>
            </w:r>
          </w:p>
        </w:tc>
        <w:tc>
          <w:tcPr>
            <w:tcW w:w="3520" w:type="dxa"/>
            <w:tcBorders>
              <w:top w:val="nil"/>
              <w:left w:val="nil"/>
              <w:bottom w:val="nil"/>
              <w:right w:val="nil"/>
            </w:tcBorders>
          </w:tcPr>
          <w:p w:rsidR="00F77591" w:rsidRDefault="004A07C1">
            <w:pPr>
              <w:spacing w:after="0"/>
              <w:ind w:left="2"/>
            </w:pPr>
            <w:r>
              <w:rPr>
                <w:rFonts w:ascii="Book Antiqua" w:eastAsia="Book Antiqua" w:hAnsi="Book Antiqua" w:cs="Book Antiqua"/>
                <w:sz w:val="16"/>
              </w:rPr>
              <w:t xml:space="preserve">5’-GGCCGTACAGTTCCACAAA-3’ </w:t>
            </w:r>
          </w:p>
        </w:tc>
        <w:tc>
          <w:tcPr>
            <w:tcW w:w="537" w:type="dxa"/>
            <w:tcBorders>
              <w:top w:val="nil"/>
              <w:left w:val="nil"/>
              <w:bottom w:val="nil"/>
              <w:right w:val="nil"/>
            </w:tcBorders>
          </w:tcPr>
          <w:p w:rsidR="00F77591" w:rsidRDefault="004A07C1">
            <w:pPr>
              <w:spacing w:after="0"/>
              <w:ind w:left="2"/>
            </w:pPr>
            <w:r>
              <w:rPr>
                <w:rFonts w:ascii="Book Antiqua" w:eastAsia="Book Antiqua" w:hAnsi="Book Antiqua" w:cs="Book Antiqua"/>
                <w:sz w:val="16"/>
              </w:rPr>
              <w:t xml:space="preserve">75 </w:t>
            </w:r>
          </w:p>
        </w:tc>
        <w:tc>
          <w:tcPr>
            <w:tcW w:w="456" w:type="dxa"/>
            <w:tcBorders>
              <w:top w:val="nil"/>
              <w:left w:val="nil"/>
              <w:bottom w:val="nil"/>
              <w:right w:val="nil"/>
            </w:tcBorders>
          </w:tcPr>
          <w:p w:rsidR="00F77591" w:rsidRDefault="00F77591"/>
        </w:tc>
      </w:tr>
      <w:tr w:rsidR="00F77591">
        <w:trPr>
          <w:trHeight w:val="206"/>
        </w:trPr>
        <w:tc>
          <w:tcPr>
            <w:tcW w:w="1202" w:type="dxa"/>
            <w:tcBorders>
              <w:top w:val="nil"/>
              <w:left w:val="nil"/>
              <w:bottom w:val="single" w:sz="4" w:space="0" w:color="000000"/>
              <w:right w:val="nil"/>
            </w:tcBorders>
          </w:tcPr>
          <w:p w:rsidR="00F77591" w:rsidRDefault="004A07C1">
            <w:pPr>
              <w:spacing w:after="0"/>
              <w:ind w:left="122"/>
            </w:pPr>
            <w:r>
              <w:rPr>
                <w:rFonts w:ascii="Book Antiqua" w:eastAsia="Book Antiqua" w:hAnsi="Book Antiqua" w:cs="Book Antiqua"/>
                <w:sz w:val="16"/>
              </w:rPr>
              <w:t xml:space="preserve">GAPDH </w:t>
            </w:r>
          </w:p>
        </w:tc>
        <w:tc>
          <w:tcPr>
            <w:tcW w:w="3581" w:type="dxa"/>
            <w:tcBorders>
              <w:top w:val="nil"/>
              <w:left w:val="nil"/>
              <w:bottom w:val="single" w:sz="4" w:space="0" w:color="000000"/>
              <w:right w:val="nil"/>
            </w:tcBorders>
          </w:tcPr>
          <w:p w:rsidR="00F77591" w:rsidRDefault="004A07C1">
            <w:pPr>
              <w:spacing w:after="0"/>
            </w:pPr>
            <w:r>
              <w:rPr>
                <w:rFonts w:ascii="Book Antiqua" w:eastAsia="Book Antiqua" w:hAnsi="Book Antiqua" w:cs="Book Antiqua"/>
                <w:sz w:val="16"/>
              </w:rPr>
              <w:t xml:space="preserve">5’-AGCCACATCGCTCAGACAC-3’ </w:t>
            </w:r>
          </w:p>
        </w:tc>
        <w:tc>
          <w:tcPr>
            <w:tcW w:w="3520" w:type="dxa"/>
            <w:tcBorders>
              <w:top w:val="nil"/>
              <w:left w:val="nil"/>
              <w:bottom w:val="single" w:sz="4" w:space="0" w:color="000000"/>
              <w:right w:val="nil"/>
            </w:tcBorders>
          </w:tcPr>
          <w:p w:rsidR="00F77591" w:rsidRDefault="004A07C1">
            <w:pPr>
              <w:spacing w:after="0"/>
              <w:ind w:left="1"/>
            </w:pPr>
            <w:r>
              <w:rPr>
                <w:rFonts w:ascii="Book Antiqua" w:eastAsia="Book Antiqua" w:hAnsi="Book Antiqua" w:cs="Book Antiqua"/>
                <w:sz w:val="16"/>
              </w:rPr>
              <w:t xml:space="preserve">5’-GCCCAATACGACCAAATCC-3’ </w:t>
            </w:r>
          </w:p>
        </w:tc>
        <w:tc>
          <w:tcPr>
            <w:tcW w:w="537" w:type="dxa"/>
            <w:tcBorders>
              <w:top w:val="nil"/>
              <w:left w:val="nil"/>
              <w:bottom w:val="single" w:sz="4" w:space="0" w:color="000000"/>
              <w:right w:val="nil"/>
            </w:tcBorders>
          </w:tcPr>
          <w:p w:rsidR="00F77591" w:rsidRDefault="004A07C1">
            <w:pPr>
              <w:spacing w:after="0"/>
              <w:ind w:left="1"/>
            </w:pPr>
            <w:r>
              <w:rPr>
                <w:rFonts w:ascii="Book Antiqua" w:eastAsia="Book Antiqua" w:hAnsi="Book Antiqua" w:cs="Book Antiqua"/>
                <w:sz w:val="16"/>
              </w:rPr>
              <w:t xml:space="preserve">60 </w:t>
            </w:r>
          </w:p>
        </w:tc>
        <w:tc>
          <w:tcPr>
            <w:tcW w:w="456" w:type="dxa"/>
            <w:tcBorders>
              <w:top w:val="nil"/>
              <w:left w:val="nil"/>
              <w:bottom w:val="single" w:sz="4" w:space="0" w:color="000000"/>
              <w:right w:val="nil"/>
            </w:tcBorders>
          </w:tcPr>
          <w:p w:rsidR="00F77591" w:rsidRDefault="00F77591"/>
        </w:tc>
      </w:tr>
    </w:tbl>
    <w:p w:rsidR="00F77591" w:rsidRDefault="004A07C1">
      <w:pPr>
        <w:spacing w:after="0"/>
        <w:ind w:left="708"/>
        <w:jc w:val="both"/>
      </w:pPr>
      <w:r>
        <w:rPr>
          <w:rFonts w:ascii="Times New Roman" w:eastAsia="Times New Roman" w:hAnsi="Times New Roman" w:cs="Times New Roman"/>
          <w:sz w:val="24"/>
        </w:rPr>
        <w:t xml:space="preserve"> </w:t>
      </w:r>
    </w:p>
    <w:p w:rsidR="00F77591" w:rsidRDefault="004A07C1">
      <w:pPr>
        <w:spacing w:after="496" w:line="504" w:lineRule="auto"/>
        <w:ind w:left="10" w:right="-15" w:hanging="10"/>
        <w:jc w:val="right"/>
      </w:pPr>
      <w:r>
        <w:rPr>
          <w:rFonts w:ascii="Arial" w:eastAsia="Arial" w:hAnsi="Arial" w:cs="Arial"/>
          <w:sz w:val="15"/>
        </w:rPr>
        <w:t xml:space="preserve">İnsan servikal kanser HeLa hücrelerinde Vinorelbin’in apoptotik etkisi             </w:t>
      </w:r>
    </w:p>
    <w:p w:rsidR="00F77591" w:rsidRDefault="004A07C1">
      <w:pPr>
        <w:spacing w:after="9" w:line="249" w:lineRule="auto"/>
        <w:ind w:left="-5" w:hanging="10"/>
      </w:pPr>
      <w:r>
        <w:rPr>
          <w:rFonts w:ascii="Book Antiqua" w:eastAsia="Book Antiqua" w:hAnsi="Book Antiqua" w:cs="Book Antiqua"/>
          <w:b/>
          <w:sz w:val="16"/>
        </w:rPr>
        <w:t>Tablo II.</w:t>
      </w:r>
      <w:r>
        <w:rPr>
          <w:rFonts w:ascii="Book Antiqua" w:eastAsia="Book Antiqua" w:hAnsi="Book Antiqua" w:cs="Book Antiqua"/>
          <w:sz w:val="16"/>
        </w:rPr>
        <w:t xml:space="preserve"> Vinorelbin uygulanmış HeLa hücrelerinde gözlenen canlı, apoptotik ve nekrotik hücre ortalama değerleri </w:t>
      </w:r>
    </w:p>
    <w:tbl>
      <w:tblPr>
        <w:tblStyle w:val="TableGrid"/>
        <w:tblW w:w="6920" w:type="dxa"/>
        <w:tblInd w:w="-14" w:type="dxa"/>
        <w:tblCellMar>
          <w:top w:w="39" w:type="dxa"/>
          <w:left w:w="0" w:type="dxa"/>
          <w:bottom w:w="0" w:type="dxa"/>
          <w:right w:w="115" w:type="dxa"/>
        </w:tblCellMar>
        <w:tblLook w:val="04A0" w:firstRow="1" w:lastRow="0" w:firstColumn="1" w:lastColumn="0" w:noHBand="0" w:noVBand="1"/>
      </w:tblPr>
      <w:tblGrid>
        <w:gridCol w:w="2163"/>
        <w:gridCol w:w="1352"/>
        <w:gridCol w:w="1380"/>
        <w:gridCol w:w="1126"/>
        <w:gridCol w:w="899"/>
      </w:tblGrid>
      <w:tr w:rsidR="00F77591">
        <w:trPr>
          <w:trHeight w:val="562"/>
        </w:trPr>
        <w:tc>
          <w:tcPr>
            <w:tcW w:w="2164" w:type="dxa"/>
            <w:tcBorders>
              <w:top w:val="single" w:sz="12" w:space="0" w:color="007F00"/>
              <w:left w:val="nil"/>
              <w:bottom w:val="single" w:sz="6" w:space="0" w:color="007F00"/>
              <w:right w:val="nil"/>
            </w:tcBorders>
          </w:tcPr>
          <w:p w:rsidR="00F77591" w:rsidRDefault="004A07C1">
            <w:pPr>
              <w:spacing w:after="0"/>
              <w:ind w:left="299" w:firstLine="196"/>
            </w:pPr>
            <w:r>
              <w:rPr>
                <w:rFonts w:ascii="Book Antiqua" w:eastAsia="Book Antiqua" w:hAnsi="Book Antiqua" w:cs="Book Antiqua"/>
                <w:b/>
                <w:sz w:val="16"/>
              </w:rPr>
              <w:t xml:space="preserve">Vinorelbin Konsantrasyonu </w:t>
            </w:r>
          </w:p>
        </w:tc>
        <w:tc>
          <w:tcPr>
            <w:tcW w:w="1352" w:type="dxa"/>
            <w:tcBorders>
              <w:top w:val="single" w:sz="12" w:space="0" w:color="007F00"/>
              <w:left w:val="nil"/>
              <w:bottom w:val="single" w:sz="6" w:space="0" w:color="007F00"/>
              <w:right w:val="nil"/>
            </w:tcBorders>
          </w:tcPr>
          <w:p w:rsidR="00F77591" w:rsidRDefault="004A07C1">
            <w:pPr>
              <w:spacing w:after="24"/>
            </w:pPr>
            <w:r>
              <w:rPr>
                <w:rFonts w:ascii="Book Antiqua" w:eastAsia="Book Antiqua" w:hAnsi="Book Antiqua" w:cs="Book Antiqua"/>
                <w:b/>
                <w:sz w:val="16"/>
              </w:rPr>
              <w:t xml:space="preserve">Canlılık  </w:t>
            </w:r>
          </w:p>
          <w:p w:rsidR="00F77591" w:rsidRDefault="004A07C1">
            <w:pPr>
              <w:spacing w:after="0"/>
              <w:ind w:left="179"/>
            </w:pPr>
            <w:r>
              <w:rPr>
                <w:rFonts w:ascii="Book Antiqua" w:eastAsia="Book Antiqua" w:hAnsi="Book Antiqua" w:cs="Book Antiqua"/>
                <w:b/>
                <w:sz w:val="16"/>
              </w:rPr>
              <w:t xml:space="preserve">(%) </w:t>
            </w:r>
          </w:p>
        </w:tc>
        <w:tc>
          <w:tcPr>
            <w:tcW w:w="1380" w:type="dxa"/>
            <w:tcBorders>
              <w:top w:val="single" w:sz="12" w:space="0" w:color="007F00"/>
              <w:left w:val="nil"/>
              <w:bottom w:val="single" w:sz="6" w:space="0" w:color="007F00"/>
              <w:right w:val="nil"/>
            </w:tcBorders>
          </w:tcPr>
          <w:p w:rsidR="00F77591" w:rsidRDefault="004A07C1">
            <w:pPr>
              <w:spacing w:after="24"/>
            </w:pPr>
            <w:r>
              <w:rPr>
                <w:rFonts w:ascii="Book Antiqua" w:eastAsia="Book Antiqua" w:hAnsi="Book Antiqua" w:cs="Book Antiqua"/>
                <w:b/>
                <w:sz w:val="16"/>
              </w:rPr>
              <w:t xml:space="preserve">Apoptoz  </w:t>
            </w:r>
          </w:p>
          <w:p w:rsidR="00F77591" w:rsidRDefault="004A07C1">
            <w:pPr>
              <w:spacing w:after="0"/>
              <w:ind w:left="191"/>
            </w:pPr>
            <w:r>
              <w:rPr>
                <w:rFonts w:ascii="Book Antiqua" w:eastAsia="Book Antiqua" w:hAnsi="Book Antiqua" w:cs="Book Antiqua"/>
                <w:b/>
                <w:sz w:val="16"/>
              </w:rPr>
              <w:t xml:space="preserve">(%) </w:t>
            </w:r>
          </w:p>
        </w:tc>
        <w:tc>
          <w:tcPr>
            <w:tcW w:w="1126" w:type="dxa"/>
            <w:tcBorders>
              <w:top w:val="single" w:sz="12" w:space="0" w:color="007F00"/>
              <w:left w:val="nil"/>
              <w:bottom w:val="single" w:sz="6" w:space="0" w:color="007F00"/>
              <w:right w:val="nil"/>
            </w:tcBorders>
          </w:tcPr>
          <w:p w:rsidR="00F77591" w:rsidRDefault="004A07C1">
            <w:pPr>
              <w:spacing w:after="24"/>
            </w:pPr>
            <w:r>
              <w:rPr>
                <w:rFonts w:ascii="Book Antiqua" w:eastAsia="Book Antiqua" w:hAnsi="Book Antiqua" w:cs="Book Antiqua"/>
                <w:b/>
                <w:sz w:val="16"/>
              </w:rPr>
              <w:t xml:space="preserve">Nekroz  </w:t>
            </w:r>
          </w:p>
          <w:p w:rsidR="00F77591" w:rsidRDefault="004A07C1">
            <w:pPr>
              <w:spacing w:after="0"/>
              <w:ind w:left="148"/>
            </w:pPr>
            <w:r>
              <w:rPr>
                <w:rFonts w:ascii="Book Antiqua" w:eastAsia="Book Antiqua" w:hAnsi="Book Antiqua" w:cs="Book Antiqua"/>
                <w:b/>
                <w:sz w:val="16"/>
              </w:rPr>
              <w:t xml:space="preserve">(%) </w:t>
            </w:r>
          </w:p>
        </w:tc>
        <w:tc>
          <w:tcPr>
            <w:tcW w:w="899" w:type="dxa"/>
            <w:tcBorders>
              <w:top w:val="single" w:sz="12" w:space="0" w:color="007F00"/>
              <w:left w:val="nil"/>
              <w:bottom w:val="single" w:sz="6" w:space="0" w:color="007F00"/>
              <w:right w:val="nil"/>
            </w:tcBorders>
          </w:tcPr>
          <w:p w:rsidR="00F77591" w:rsidRDefault="004A07C1">
            <w:pPr>
              <w:spacing w:after="0"/>
            </w:pPr>
            <w:r>
              <w:rPr>
                <w:rFonts w:ascii="Book Antiqua" w:eastAsia="Book Antiqua" w:hAnsi="Book Antiqua" w:cs="Book Antiqua"/>
                <w:b/>
                <w:i/>
                <w:sz w:val="16"/>
              </w:rPr>
              <w:t>p</w:t>
            </w:r>
            <w:r>
              <w:rPr>
                <w:rFonts w:ascii="Book Antiqua" w:eastAsia="Book Antiqua" w:hAnsi="Book Antiqua" w:cs="Book Antiqua"/>
                <w:b/>
                <w:sz w:val="16"/>
              </w:rPr>
              <w:t xml:space="preserve"> değeri * </w:t>
            </w:r>
          </w:p>
        </w:tc>
      </w:tr>
      <w:tr w:rsidR="00F77591">
        <w:trPr>
          <w:trHeight w:val="296"/>
        </w:trPr>
        <w:tc>
          <w:tcPr>
            <w:tcW w:w="2164" w:type="dxa"/>
            <w:tcBorders>
              <w:top w:val="single" w:sz="6" w:space="0" w:color="007F00"/>
              <w:left w:val="nil"/>
              <w:bottom w:val="nil"/>
              <w:right w:val="nil"/>
            </w:tcBorders>
          </w:tcPr>
          <w:p w:rsidR="00F77591" w:rsidRDefault="004A07C1">
            <w:pPr>
              <w:spacing w:after="0"/>
              <w:ind w:left="625"/>
            </w:pPr>
            <w:r>
              <w:rPr>
                <w:rFonts w:ascii="Book Antiqua" w:eastAsia="Book Antiqua" w:hAnsi="Book Antiqua" w:cs="Book Antiqua"/>
                <w:sz w:val="16"/>
              </w:rPr>
              <w:lastRenderedPageBreak/>
              <w:t xml:space="preserve">Kontrol </w:t>
            </w:r>
          </w:p>
        </w:tc>
        <w:tc>
          <w:tcPr>
            <w:tcW w:w="1352" w:type="dxa"/>
            <w:tcBorders>
              <w:top w:val="single" w:sz="6" w:space="0" w:color="007F00"/>
              <w:left w:val="nil"/>
              <w:bottom w:val="nil"/>
              <w:right w:val="nil"/>
            </w:tcBorders>
          </w:tcPr>
          <w:p w:rsidR="00F77591" w:rsidRDefault="004A07C1">
            <w:pPr>
              <w:spacing w:after="0"/>
              <w:ind w:left="162"/>
            </w:pPr>
            <w:r>
              <w:rPr>
                <w:rFonts w:ascii="Book Antiqua" w:eastAsia="Book Antiqua" w:hAnsi="Book Antiqua" w:cs="Book Antiqua"/>
                <w:sz w:val="16"/>
              </w:rPr>
              <w:t xml:space="preserve">94,7 </w:t>
            </w:r>
          </w:p>
        </w:tc>
        <w:tc>
          <w:tcPr>
            <w:tcW w:w="1380" w:type="dxa"/>
            <w:tcBorders>
              <w:top w:val="single" w:sz="6" w:space="0" w:color="007F00"/>
              <w:left w:val="nil"/>
              <w:bottom w:val="nil"/>
              <w:right w:val="nil"/>
            </w:tcBorders>
          </w:tcPr>
          <w:p w:rsidR="00F77591" w:rsidRDefault="004A07C1">
            <w:pPr>
              <w:spacing w:after="0"/>
              <w:ind w:left="215"/>
            </w:pPr>
            <w:r>
              <w:rPr>
                <w:rFonts w:ascii="Book Antiqua" w:eastAsia="Book Antiqua" w:hAnsi="Book Antiqua" w:cs="Book Antiqua"/>
                <w:sz w:val="16"/>
              </w:rPr>
              <w:t xml:space="preserve">2,1 </w:t>
            </w:r>
          </w:p>
        </w:tc>
        <w:tc>
          <w:tcPr>
            <w:tcW w:w="1126" w:type="dxa"/>
            <w:tcBorders>
              <w:top w:val="single" w:sz="6" w:space="0" w:color="007F00"/>
              <w:left w:val="nil"/>
              <w:bottom w:val="nil"/>
              <w:right w:val="nil"/>
            </w:tcBorders>
          </w:tcPr>
          <w:p w:rsidR="00F77591" w:rsidRDefault="004A07C1">
            <w:pPr>
              <w:spacing w:after="0"/>
              <w:ind w:left="172"/>
            </w:pPr>
            <w:r>
              <w:rPr>
                <w:rFonts w:ascii="Book Antiqua" w:eastAsia="Book Antiqua" w:hAnsi="Book Antiqua" w:cs="Book Antiqua"/>
                <w:sz w:val="16"/>
              </w:rPr>
              <w:t xml:space="preserve">3,2 </w:t>
            </w:r>
          </w:p>
        </w:tc>
        <w:tc>
          <w:tcPr>
            <w:tcW w:w="899" w:type="dxa"/>
            <w:tcBorders>
              <w:top w:val="single" w:sz="6" w:space="0" w:color="007F00"/>
              <w:left w:val="nil"/>
              <w:bottom w:val="nil"/>
              <w:right w:val="nil"/>
            </w:tcBorders>
          </w:tcPr>
          <w:p w:rsidR="00F77591" w:rsidRDefault="004A07C1">
            <w:pPr>
              <w:spacing w:after="0"/>
              <w:ind w:left="324"/>
            </w:pPr>
            <w:r>
              <w:rPr>
                <w:rFonts w:ascii="Book Antiqua" w:eastAsia="Book Antiqua" w:hAnsi="Book Antiqua" w:cs="Book Antiqua"/>
                <w:sz w:val="16"/>
              </w:rPr>
              <w:t xml:space="preserve">- </w:t>
            </w:r>
          </w:p>
        </w:tc>
      </w:tr>
      <w:tr w:rsidR="00F77591">
        <w:trPr>
          <w:trHeight w:val="248"/>
        </w:trPr>
        <w:tc>
          <w:tcPr>
            <w:tcW w:w="2164" w:type="dxa"/>
            <w:tcBorders>
              <w:top w:val="nil"/>
              <w:left w:val="nil"/>
              <w:bottom w:val="nil"/>
              <w:right w:val="nil"/>
            </w:tcBorders>
          </w:tcPr>
          <w:p w:rsidR="00F77591" w:rsidRDefault="004A07C1">
            <w:pPr>
              <w:spacing w:after="0"/>
              <w:ind w:left="737"/>
            </w:pPr>
            <w:r>
              <w:rPr>
                <w:rFonts w:ascii="Book Antiqua" w:eastAsia="Book Antiqua" w:hAnsi="Book Antiqua" w:cs="Book Antiqua"/>
                <w:sz w:val="16"/>
              </w:rPr>
              <w:t xml:space="preserve">5µM </w:t>
            </w:r>
          </w:p>
        </w:tc>
        <w:tc>
          <w:tcPr>
            <w:tcW w:w="1352" w:type="dxa"/>
            <w:tcBorders>
              <w:top w:val="nil"/>
              <w:left w:val="nil"/>
              <w:bottom w:val="nil"/>
              <w:right w:val="nil"/>
            </w:tcBorders>
          </w:tcPr>
          <w:p w:rsidR="00F77591" w:rsidRDefault="004A07C1">
            <w:pPr>
              <w:spacing w:after="0"/>
              <w:ind w:left="162"/>
            </w:pPr>
            <w:r>
              <w:rPr>
                <w:rFonts w:ascii="Book Antiqua" w:eastAsia="Book Antiqua" w:hAnsi="Book Antiqua" w:cs="Book Antiqua"/>
                <w:sz w:val="16"/>
              </w:rPr>
              <w:t xml:space="preserve">87,5 </w:t>
            </w:r>
          </w:p>
        </w:tc>
        <w:tc>
          <w:tcPr>
            <w:tcW w:w="1380" w:type="dxa"/>
            <w:tcBorders>
              <w:top w:val="nil"/>
              <w:left w:val="nil"/>
              <w:bottom w:val="nil"/>
              <w:right w:val="nil"/>
            </w:tcBorders>
          </w:tcPr>
          <w:p w:rsidR="00F77591" w:rsidRDefault="004A07C1">
            <w:pPr>
              <w:spacing w:after="0"/>
              <w:ind w:left="215"/>
            </w:pPr>
            <w:r>
              <w:rPr>
                <w:rFonts w:ascii="Book Antiqua" w:eastAsia="Book Antiqua" w:hAnsi="Book Antiqua" w:cs="Book Antiqua"/>
                <w:sz w:val="16"/>
              </w:rPr>
              <w:t xml:space="preserve">7,5 </w:t>
            </w:r>
          </w:p>
        </w:tc>
        <w:tc>
          <w:tcPr>
            <w:tcW w:w="1126" w:type="dxa"/>
            <w:tcBorders>
              <w:top w:val="nil"/>
              <w:left w:val="nil"/>
              <w:bottom w:val="nil"/>
              <w:right w:val="nil"/>
            </w:tcBorders>
          </w:tcPr>
          <w:p w:rsidR="00F77591" w:rsidRDefault="004A07C1">
            <w:pPr>
              <w:spacing w:after="0"/>
              <w:ind w:left="172"/>
            </w:pPr>
            <w:r>
              <w:rPr>
                <w:rFonts w:ascii="Book Antiqua" w:eastAsia="Book Antiqua" w:hAnsi="Book Antiqua" w:cs="Book Antiqua"/>
                <w:sz w:val="16"/>
              </w:rPr>
              <w:t xml:space="preserve">5,1 </w:t>
            </w:r>
          </w:p>
        </w:tc>
        <w:tc>
          <w:tcPr>
            <w:tcW w:w="899" w:type="dxa"/>
            <w:tcBorders>
              <w:top w:val="nil"/>
              <w:left w:val="nil"/>
              <w:bottom w:val="nil"/>
              <w:right w:val="nil"/>
            </w:tcBorders>
          </w:tcPr>
          <w:p w:rsidR="00F77591" w:rsidRDefault="004A07C1">
            <w:pPr>
              <w:spacing w:after="0"/>
              <w:ind w:left="169"/>
            </w:pPr>
            <w:r>
              <w:rPr>
                <w:rFonts w:ascii="Book Antiqua" w:eastAsia="Book Antiqua" w:hAnsi="Book Antiqua" w:cs="Book Antiqua"/>
                <w:sz w:val="16"/>
              </w:rPr>
              <w:t xml:space="preserve">0,136 </w:t>
            </w:r>
          </w:p>
        </w:tc>
      </w:tr>
      <w:tr w:rsidR="00F77591">
        <w:trPr>
          <w:trHeight w:val="274"/>
        </w:trPr>
        <w:tc>
          <w:tcPr>
            <w:tcW w:w="2164" w:type="dxa"/>
            <w:tcBorders>
              <w:top w:val="nil"/>
              <w:left w:val="nil"/>
              <w:bottom w:val="nil"/>
              <w:right w:val="nil"/>
            </w:tcBorders>
          </w:tcPr>
          <w:p w:rsidR="00F77591" w:rsidRDefault="004A07C1">
            <w:pPr>
              <w:spacing w:after="0"/>
              <w:ind w:left="696"/>
            </w:pPr>
            <w:r>
              <w:rPr>
                <w:rFonts w:ascii="Book Antiqua" w:eastAsia="Book Antiqua" w:hAnsi="Book Antiqua" w:cs="Book Antiqua"/>
                <w:sz w:val="16"/>
              </w:rPr>
              <w:t xml:space="preserve">10µM </w:t>
            </w:r>
          </w:p>
        </w:tc>
        <w:tc>
          <w:tcPr>
            <w:tcW w:w="1352" w:type="dxa"/>
            <w:tcBorders>
              <w:top w:val="nil"/>
              <w:left w:val="nil"/>
              <w:bottom w:val="nil"/>
              <w:right w:val="nil"/>
            </w:tcBorders>
          </w:tcPr>
          <w:p w:rsidR="00F77591" w:rsidRDefault="004A07C1">
            <w:pPr>
              <w:spacing w:after="0"/>
              <w:ind w:left="162"/>
            </w:pPr>
            <w:r>
              <w:rPr>
                <w:rFonts w:ascii="Book Antiqua" w:eastAsia="Book Antiqua" w:hAnsi="Book Antiqua" w:cs="Book Antiqua"/>
                <w:sz w:val="16"/>
              </w:rPr>
              <w:t xml:space="preserve">83,8 </w:t>
            </w:r>
          </w:p>
        </w:tc>
        <w:tc>
          <w:tcPr>
            <w:tcW w:w="1380" w:type="dxa"/>
            <w:tcBorders>
              <w:top w:val="nil"/>
              <w:left w:val="nil"/>
              <w:bottom w:val="nil"/>
              <w:right w:val="nil"/>
            </w:tcBorders>
          </w:tcPr>
          <w:p w:rsidR="00F77591" w:rsidRDefault="004A07C1">
            <w:pPr>
              <w:spacing w:after="0"/>
              <w:ind w:left="215"/>
            </w:pPr>
            <w:r>
              <w:rPr>
                <w:rFonts w:ascii="Book Antiqua" w:eastAsia="Book Antiqua" w:hAnsi="Book Antiqua" w:cs="Book Antiqua"/>
                <w:sz w:val="16"/>
              </w:rPr>
              <w:t xml:space="preserve">9,7 </w:t>
            </w:r>
          </w:p>
        </w:tc>
        <w:tc>
          <w:tcPr>
            <w:tcW w:w="1126" w:type="dxa"/>
            <w:tcBorders>
              <w:top w:val="nil"/>
              <w:left w:val="nil"/>
              <w:bottom w:val="nil"/>
              <w:right w:val="nil"/>
            </w:tcBorders>
          </w:tcPr>
          <w:p w:rsidR="00F77591" w:rsidRDefault="004A07C1">
            <w:pPr>
              <w:spacing w:after="0"/>
              <w:ind w:left="172"/>
            </w:pPr>
            <w:r>
              <w:rPr>
                <w:rFonts w:ascii="Book Antiqua" w:eastAsia="Book Antiqua" w:hAnsi="Book Antiqua" w:cs="Book Antiqua"/>
                <w:sz w:val="16"/>
              </w:rPr>
              <w:t xml:space="preserve">6,5 </w:t>
            </w:r>
          </w:p>
        </w:tc>
        <w:tc>
          <w:tcPr>
            <w:tcW w:w="899" w:type="dxa"/>
            <w:tcBorders>
              <w:top w:val="nil"/>
              <w:left w:val="nil"/>
              <w:bottom w:val="nil"/>
              <w:right w:val="nil"/>
            </w:tcBorders>
          </w:tcPr>
          <w:p w:rsidR="00F77591" w:rsidRDefault="004A07C1">
            <w:pPr>
              <w:spacing w:after="0"/>
              <w:ind w:left="169"/>
            </w:pPr>
            <w:r>
              <w:rPr>
                <w:rFonts w:ascii="Book Antiqua" w:eastAsia="Book Antiqua" w:hAnsi="Book Antiqua" w:cs="Book Antiqua"/>
                <w:sz w:val="16"/>
              </w:rPr>
              <w:t xml:space="preserve">0,064 </w:t>
            </w:r>
          </w:p>
        </w:tc>
      </w:tr>
      <w:tr w:rsidR="00F77591">
        <w:trPr>
          <w:trHeight w:val="274"/>
        </w:trPr>
        <w:tc>
          <w:tcPr>
            <w:tcW w:w="2164" w:type="dxa"/>
            <w:tcBorders>
              <w:top w:val="nil"/>
              <w:left w:val="nil"/>
              <w:bottom w:val="nil"/>
              <w:right w:val="nil"/>
            </w:tcBorders>
          </w:tcPr>
          <w:p w:rsidR="00F77591" w:rsidRDefault="004A07C1">
            <w:pPr>
              <w:spacing w:after="0"/>
              <w:ind w:left="696"/>
            </w:pPr>
            <w:r>
              <w:rPr>
                <w:rFonts w:ascii="Book Antiqua" w:eastAsia="Book Antiqua" w:hAnsi="Book Antiqua" w:cs="Book Antiqua"/>
                <w:sz w:val="16"/>
              </w:rPr>
              <w:t xml:space="preserve">20µM </w:t>
            </w:r>
          </w:p>
        </w:tc>
        <w:tc>
          <w:tcPr>
            <w:tcW w:w="1352" w:type="dxa"/>
            <w:tcBorders>
              <w:top w:val="nil"/>
              <w:left w:val="nil"/>
              <w:bottom w:val="nil"/>
              <w:right w:val="nil"/>
            </w:tcBorders>
          </w:tcPr>
          <w:p w:rsidR="00F77591" w:rsidRDefault="004A07C1">
            <w:pPr>
              <w:spacing w:after="0"/>
              <w:ind w:left="162"/>
            </w:pPr>
            <w:r>
              <w:rPr>
                <w:rFonts w:ascii="Book Antiqua" w:eastAsia="Book Antiqua" w:hAnsi="Book Antiqua" w:cs="Book Antiqua"/>
                <w:sz w:val="16"/>
              </w:rPr>
              <w:t xml:space="preserve">80,7 </w:t>
            </w:r>
          </w:p>
        </w:tc>
        <w:tc>
          <w:tcPr>
            <w:tcW w:w="1380" w:type="dxa"/>
            <w:tcBorders>
              <w:top w:val="nil"/>
              <w:left w:val="nil"/>
              <w:bottom w:val="nil"/>
              <w:right w:val="nil"/>
            </w:tcBorders>
          </w:tcPr>
          <w:p w:rsidR="00F77591" w:rsidRDefault="004A07C1">
            <w:pPr>
              <w:spacing w:after="0"/>
              <w:ind w:left="174"/>
            </w:pPr>
            <w:r>
              <w:rPr>
                <w:rFonts w:ascii="Book Antiqua" w:eastAsia="Book Antiqua" w:hAnsi="Book Antiqua" w:cs="Book Antiqua"/>
                <w:sz w:val="16"/>
              </w:rPr>
              <w:t xml:space="preserve">12,1 </w:t>
            </w:r>
          </w:p>
        </w:tc>
        <w:tc>
          <w:tcPr>
            <w:tcW w:w="1126" w:type="dxa"/>
            <w:tcBorders>
              <w:top w:val="nil"/>
              <w:left w:val="nil"/>
              <w:bottom w:val="nil"/>
              <w:right w:val="nil"/>
            </w:tcBorders>
          </w:tcPr>
          <w:p w:rsidR="00F77591" w:rsidRDefault="004A07C1">
            <w:pPr>
              <w:spacing w:after="0"/>
              <w:ind w:left="172"/>
            </w:pPr>
            <w:r>
              <w:rPr>
                <w:rFonts w:ascii="Book Antiqua" w:eastAsia="Book Antiqua" w:hAnsi="Book Antiqua" w:cs="Book Antiqua"/>
                <w:sz w:val="16"/>
              </w:rPr>
              <w:t xml:space="preserve">7,2 </w:t>
            </w:r>
          </w:p>
        </w:tc>
        <w:tc>
          <w:tcPr>
            <w:tcW w:w="899" w:type="dxa"/>
            <w:tcBorders>
              <w:top w:val="nil"/>
              <w:left w:val="nil"/>
              <w:bottom w:val="nil"/>
              <w:right w:val="nil"/>
            </w:tcBorders>
          </w:tcPr>
          <w:p w:rsidR="00F77591" w:rsidRDefault="004A07C1">
            <w:pPr>
              <w:spacing w:after="0"/>
              <w:ind w:left="134"/>
            </w:pPr>
            <w:r>
              <w:rPr>
                <w:rFonts w:ascii="Book Antiqua" w:eastAsia="Book Antiqua" w:hAnsi="Book Antiqua" w:cs="Book Antiqua"/>
                <w:sz w:val="16"/>
              </w:rPr>
              <w:t>0,024</w:t>
            </w:r>
            <w:r>
              <w:rPr>
                <w:rFonts w:ascii="Book Antiqua" w:eastAsia="Book Antiqua" w:hAnsi="Book Antiqua" w:cs="Book Antiqua"/>
                <w:b/>
                <w:sz w:val="16"/>
              </w:rPr>
              <w:t>*</w:t>
            </w:r>
            <w:r>
              <w:rPr>
                <w:rFonts w:ascii="Book Antiqua" w:eastAsia="Book Antiqua" w:hAnsi="Book Antiqua" w:cs="Book Antiqua"/>
                <w:sz w:val="16"/>
              </w:rPr>
              <w:t xml:space="preserve"> </w:t>
            </w:r>
          </w:p>
        </w:tc>
      </w:tr>
      <w:tr w:rsidR="00F77591">
        <w:trPr>
          <w:trHeight w:val="240"/>
        </w:trPr>
        <w:tc>
          <w:tcPr>
            <w:tcW w:w="2164" w:type="dxa"/>
            <w:tcBorders>
              <w:top w:val="nil"/>
              <w:left w:val="nil"/>
              <w:bottom w:val="nil"/>
              <w:right w:val="nil"/>
            </w:tcBorders>
          </w:tcPr>
          <w:p w:rsidR="00F77591" w:rsidRDefault="004A07C1">
            <w:pPr>
              <w:spacing w:after="0"/>
              <w:ind w:left="696"/>
            </w:pPr>
            <w:r>
              <w:rPr>
                <w:rFonts w:ascii="Book Antiqua" w:eastAsia="Book Antiqua" w:hAnsi="Book Antiqua" w:cs="Book Antiqua"/>
                <w:sz w:val="16"/>
              </w:rPr>
              <w:t xml:space="preserve">40µM </w:t>
            </w:r>
          </w:p>
        </w:tc>
        <w:tc>
          <w:tcPr>
            <w:tcW w:w="1352" w:type="dxa"/>
            <w:tcBorders>
              <w:top w:val="nil"/>
              <w:left w:val="nil"/>
              <w:bottom w:val="nil"/>
              <w:right w:val="nil"/>
            </w:tcBorders>
          </w:tcPr>
          <w:p w:rsidR="00F77591" w:rsidRDefault="004A07C1">
            <w:pPr>
              <w:spacing w:after="0"/>
              <w:ind w:left="162"/>
            </w:pPr>
            <w:r>
              <w:rPr>
                <w:rFonts w:ascii="Book Antiqua" w:eastAsia="Book Antiqua" w:hAnsi="Book Antiqua" w:cs="Book Antiqua"/>
                <w:sz w:val="16"/>
              </w:rPr>
              <w:t xml:space="preserve">72,9 </w:t>
            </w:r>
          </w:p>
        </w:tc>
        <w:tc>
          <w:tcPr>
            <w:tcW w:w="1380" w:type="dxa"/>
            <w:tcBorders>
              <w:top w:val="nil"/>
              <w:left w:val="nil"/>
              <w:bottom w:val="nil"/>
              <w:right w:val="nil"/>
            </w:tcBorders>
          </w:tcPr>
          <w:p w:rsidR="00F77591" w:rsidRDefault="004A07C1">
            <w:pPr>
              <w:spacing w:after="0"/>
              <w:ind w:left="174"/>
            </w:pPr>
            <w:r>
              <w:rPr>
                <w:rFonts w:ascii="Book Antiqua" w:eastAsia="Book Antiqua" w:hAnsi="Book Antiqua" w:cs="Book Antiqua"/>
                <w:sz w:val="16"/>
              </w:rPr>
              <w:t xml:space="preserve">17,6 </w:t>
            </w:r>
          </w:p>
        </w:tc>
        <w:tc>
          <w:tcPr>
            <w:tcW w:w="1126" w:type="dxa"/>
            <w:tcBorders>
              <w:top w:val="nil"/>
              <w:left w:val="nil"/>
              <w:bottom w:val="nil"/>
              <w:right w:val="nil"/>
            </w:tcBorders>
          </w:tcPr>
          <w:p w:rsidR="00F77591" w:rsidRDefault="004A07C1">
            <w:pPr>
              <w:spacing w:after="0"/>
              <w:ind w:left="172"/>
            </w:pPr>
            <w:r>
              <w:rPr>
                <w:rFonts w:ascii="Book Antiqua" w:eastAsia="Book Antiqua" w:hAnsi="Book Antiqua" w:cs="Book Antiqua"/>
                <w:sz w:val="16"/>
              </w:rPr>
              <w:t xml:space="preserve">9,4 </w:t>
            </w:r>
          </w:p>
        </w:tc>
        <w:tc>
          <w:tcPr>
            <w:tcW w:w="899" w:type="dxa"/>
            <w:tcBorders>
              <w:top w:val="nil"/>
              <w:left w:val="nil"/>
              <w:bottom w:val="nil"/>
              <w:right w:val="nil"/>
            </w:tcBorders>
          </w:tcPr>
          <w:p w:rsidR="00F77591" w:rsidRDefault="004A07C1">
            <w:pPr>
              <w:spacing w:after="0"/>
              <w:ind w:left="135"/>
            </w:pPr>
            <w:r>
              <w:rPr>
                <w:rFonts w:ascii="Book Antiqua" w:eastAsia="Book Antiqua" w:hAnsi="Book Antiqua" w:cs="Book Antiqua"/>
                <w:sz w:val="16"/>
              </w:rPr>
              <w:t>0,007</w:t>
            </w:r>
            <w:r>
              <w:rPr>
                <w:rFonts w:ascii="Book Antiqua" w:eastAsia="Book Antiqua" w:hAnsi="Book Antiqua" w:cs="Book Antiqua"/>
                <w:b/>
                <w:sz w:val="16"/>
              </w:rPr>
              <w:t>*</w:t>
            </w:r>
            <w:r>
              <w:rPr>
                <w:rFonts w:ascii="Book Antiqua" w:eastAsia="Book Antiqua" w:hAnsi="Book Antiqua" w:cs="Book Antiqua"/>
                <w:sz w:val="16"/>
              </w:rPr>
              <w:t xml:space="preserve"> </w:t>
            </w:r>
          </w:p>
        </w:tc>
      </w:tr>
      <w:tr w:rsidR="00F77591">
        <w:trPr>
          <w:trHeight w:val="242"/>
        </w:trPr>
        <w:tc>
          <w:tcPr>
            <w:tcW w:w="2164" w:type="dxa"/>
            <w:tcBorders>
              <w:top w:val="nil"/>
              <w:left w:val="nil"/>
              <w:bottom w:val="nil"/>
              <w:right w:val="nil"/>
            </w:tcBorders>
          </w:tcPr>
          <w:p w:rsidR="00F77591" w:rsidRDefault="004A07C1">
            <w:pPr>
              <w:spacing w:after="0"/>
              <w:ind w:left="696"/>
            </w:pPr>
            <w:r>
              <w:rPr>
                <w:rFonts w:ascii="Book Antiqua" w:eastAsia="Book Antiqua" w:hAnsi="Book Antiqua" w:cs="Book Antiqua"/>
                <w:sz w:val="16"/>
              </w:rPr>
              <w:t xml:space="preserve">80µM </w:t>
            </w:r>
          </w:p>
        </w:tc>
        <w:tc>
          <w:tcPr>
            <w:tcW w:w="1352" w:type="dxa"/>
            <w:tcBorders>
              <w:top w:val="nil"/>
              <w:left w:val="nil"/>
              <w:bottom w:val="nil"/>
              <w:right w:val="nil"/>
            </w:tcBorders>
          </w:tcPr>
          <w:p w:rsidR="00F77591" w:rsidRDefault="004A07C1">
            <w:pPr>
              <w:spacing w:after="0"/>
              <w:ind w:left="162"/>
            </w:pPr>
            <w:r>
              <w:rPr>
                <w:rFonts w:ascii="Book Antiqua" w:eastAsia="Book Antiqua" w:hAnsi="Book Antiqua" w:cs="Book Antiqua"/>
                <w:sz w:val="16"/>
              </w:rPr>
              <w:t xml:space="preserve">60,4 </w:t>
            </w:r>
          </w:p>
        </w:tc>
        <w:tc>
          <w:tcPr>
            <w:tcW w:w="1380" w:type="dxa"/>
            <w:tcBorders>
              <w:top w:val="nil"/>
              <w:left w:val="nil"/>
              <w:bottom w:val="nil"/>
              <w:right w:val="nil"/>
            </w:tcBorders>
          </w:tcPr>
          <w:p w:rsidR="00F77591" w:rsidRDefault="004A07C1">
            <w:pPr>
              <w:spacing w:after="0"/>
              <w:ind w:left="174"/>
            </w:pPr>
            <w:r>
              <w:rPr>
                <w:rFonts w:ascii="Book Antiqua" w:eastAsia="Book Antiqua" w:hAnsi="Book Antiqua" w:cs="Book Antiqua"/>
                <w:sz w:val="16"/>
              </w:rPr>
              <w:t xml:space="preserve">18,7 </w:t>
            </w:r>
          </w:p>
        </w:tc>
        <w:tc>
          <w:tcPr>
            <w:tcW w:w="1126" w:type="dxa"/>
            <w:tcBorders>
              <w:top w:val="nil"/>
              <w:left w:val="nil"/>
              <w:bottom w:val="nil"/>
              <w:right w:val="nil"/>
            </w:tcBorders>
          </w:tcPr>
          <w:p w:rsidR="00F77591" w:rsidRDefault="004A07C1">
            <w:pPr>
              <w:spacing w:after="0"/>
              <w:ind w:left="131"/>
            </w:pPr>
            <w:r>
              <w:rPr>
                <w:rFonts w:ascii="Book Antiqua" w:eastAsia="Book Antiqua" w:hAnsi="Book Antiqua" w:cs="Book Antiqua"/>
                <w:sz w:val="16"/>
              </w:rPr>
              <w:t xml:space="preserve">20,9 </w:t>
            </w:r>
          </w:p>
        </w:tc>
        <w:tc>
          <w:tcPr>
            <w:tcW w:w="899" w:type="dxa"/>
            <w:tcBorders>
              <w:top w:val="nil"/>
              <w:left w:val="nil"/>
              <w:bottom w:val="nil"/>
              <w:right w:val="nil"/>
            </w:tcBorders>
          </w:tcPr>
          <w:p w:rsidR="00F77591" w:rsidRDefault="004A07C1">
            <w:pPr>
              <w:spacing w:after="0"/>
              <w:ind w:left="135"/>
            </w:pPr>
            <w:r>
              <w:rPr>
                <w:rFonts w:ascii="Book Antiqua" w:eastAsia="Book Antiqua" w:hAnsi="Book Antiqua" w:cs="Book Antiqua"/>
                <w:sz w:val="16"/>
              </w:rPr>
              <w:t>0,008</w:t>
            </w:r>
            <w:r>
              <w:rPr>
                <w:rFonts w:ascii="Book Antiqua" w:eastAsia="Book Antiqua" w:hAnsi="Book Antiqua" w:cs="Book Antiqua"/>
                <w:b/>
                <w:sz w:val="16"/>
              </w:rPr>
              <w:t>*</w:t>
            </w:r>
            <w:r>
              <w:rPr>
                <w:rFonts w:ascii="Book Antiqua" w:eastAsia="Book Antiqua" w:hAnsi="Book Antiqua" w:cs="Book Antiqua"/>
                <w:sz w:val="16"/>
              </w:rPr>
              <w:t xml:space="preserve"> </w:t>
            </w:r>
          </w:p>
        </w:tc>
      </w:tr>
      <w:tr w:rsidR="00F77591">
        <w:trPr>
          <w:trHeight w:val="272"/>
        </w:trPr>
        <w:tc>
          <w:tcPr>
            <w:tcW w:w="2164" w:type="dxa"/>
            <w:tcBorders>
              <w:top w:val="nil"/>
              <w:left w:val="nil"/>
              <w:bottom w:val="single" w:sz="12" w:space="0" w:color="007F00"/>
              <w:right w:val="nil"/>
            </w:tcBorders>
          </w:tcPr>
          <w:p w:rsidR="00F77591" w:rsidRDefault="004A07C1">
            <w:pPr>
              <w:spacing w:after="0"/>
              <w:ind w:left="656"/>
            </w:pPr>
            <w:r>
              <w:rPr>
                <w:rFonts w:ascii="Book Antiqua" w:eastAsia="Book Antiqua" w:hAnsi="Book Antiqua" w:cs="Book Antiqua"/>
                <w:sz w:val="16"/>
              </w:rPr>
              <w:t xml:space="preserve">100µM </w:t>
            </w:r>
          </w:p>
        </w:tc>
        <w:tc>
          <w:tcPr>
            <w:tcW w:w="1352" w:type="dxa"/>
            <w:tcBorders>
              <w:top w:val="nil"/>
              <w:left w:val="nil"/>
              <w:bottom w:val="single" w:sz="12" w:space="0" w:color="007F00"/>
              <w:right w:val="nil"/>
            </w:tcBorders>
          </w:tcPr>
          <w:p w:rsidR="00F77591" w:rsidRDefault="004A07C1">
            <w:pPr>
              <w:spacing w:after="0"/>
              <w:ind w:left="162"/>
            </w:pPr>
            <w:r>
              <w:rPr>
                <w:rFonts w:ascii="Book Antiqua" w:eastAsia="Book Antiqua" w:hAnsi="Book Antiqua" w:cs="Book Antiqua"/>
                <w:sz w:val="16"/>
              </w:rPr>
              <w:t xml:space="preserve">56,4 </w:t>
            </w:r>
          </w:p>
        </w:tc>
        <w:tc>
          <w:tcPr>
            <w:tcW w:w="1380" w:type="dxa"/>
            <w:tcBorders>
              <w:top w:val="nil"/>
              <w:left w:val="nil"/>
              <w:bottom w:val="single" w:sz="12" w:space="0" w:color="007F00"/>
              <w:right w:val="nil"/>
            </w:tcBorders>
          </w:tcPr>
          <w:p w:rsidR="00F77591" w:rsidRDefault="004A07C1">
            <w:pPr>
              <w:spacing w:after="0"/>
              <w:ind w:left="174"/>
            </w:pPr>
            <w:r>
              <w:rPr>
                <w:rFonts w:ascii="Book Antiqua" w:eastAsia="Book Antiqua" w:hAnsi="Book Antiqua" w:cs="Book Antiqua"/>
                <w:sz w:val="16"/>
              </w:rPr>
              <w:t xml:space="preserve">21,8 </w:t>
            </w:r>
          </w:p>
        </w:tc>
        <w:tc>
          <w:tcPr>
            <w:tcW w:w="1126" w:type="dxa"/>
            <w:tcBorders>
              <w:top w:val="nil"/>
              <w:left w:val="nil"/>
              <w:bottom w:val="single" w:sz="12" w:space="0" w:color="007F00"/>
              <w:right w:val="nil"/>
            </w:tcBorders>
          </w:tcPr>
          <w:p w:rsidR="00F77591" w:rsidRDefault="004A07C1">
            <w:pPr>
              <w:spacing w:after="0"/>
              <w:ind w:left="131"/>
            </w:pPr>
            <w:r>
              <w:rPr>
                <w:rFonts w:ascii="Book Antiqua" w:eastAsia="Book Antiqua" w:hAnsi="Book Antiqua" w:cs="Book Antiqua"/>
                <w:sz w:val="16"/>
              </w:rPr>
              <w:t xml:space="preserve">21,8 </w:t>
            </w:r>
          </w:p>
        </w:tc>
        <w:tc>
          <w:tcPr>
            <w:tcW w:w="899" w:type="dxa"/>
            <w:tcBorders>
              <w:top w:val="nil"/>
              <w:left w:val="nil"/>
              <w:bottom w:val="single" w:sz="12" w:space="0" w:color="007F00"/>
              <w:right w:val="nil"/>
            </w:tcBorders>
          </w:tcPr>
          <w:p w:rsidR="00F77591" w:rsidRDefault="004A07C1">
            <w:pPr>
              <w:spacing w:after="0"/>
              <w:ind w:left="135"/>
            </w:pPr>
            <w:r>
              <w:rPr>
                <w:rFonts w:ascii="Book Antiqua" w:eastAsia="Book Antiqua" w:hAnsi="Book Antiqua" w:cs="Book Antiqua"/>
                <w:sz w:val="16"/>
              </w:rPr>
              <w:t>0,004</w:t>
            </w:r>
            <w:r>
              <w:rPr>
                <w:rFonts w:ascii="Book Antiqua" w:eastAsia="Book Antiqua" w:hAnsi="Book Antiqua" w:cs="Book Antiqua"/>
                <w:b/>
                <w:sz w:val="16"/>
              </w:rPr>
              <w:t>*</w:t>
            </w:r>
            <w:r>
              <w:rPr>
                <w:rFonts w:ascii="Book Antiqua" w:eastAsia="Book Antiqua" w:hAnsi="Book Antiqua" w:cs="Book Antiqua"/>
                <w:sz w:val="16"/>
              </w:rPr>
              <w:t xml:space="preserve"> </w:t>
            </w:r>
          </w:p>
        </w:tc>
      </w:tr>
    </w:tbl>
    <w:p w:rsidR="00F77591" w:rsidRDefault="004A07C1">
      <w:pPr>
        <w:spacing w:after="107" w:line="261" w:lineRule="auto"/>
        <w:ind w:left="-5" w:hanging="10"/>
      </w:pPr>
      <w:r>
        <w:rPr>
          <w:rFonts w:ascii="Book Antiqua" w:eastAsia="Book Antiqua" w:hAnsi="Book Antiqua" w:cs="Book Antiqua"/>
          <w:i/>
          <w:sz w:val="16"/>
        </w:rPr>
        <w:t xml:space="preserve">*Ortalama apoptoz ile kontrol değerlerinin karşılaştırılması (p&lt;0,05) </w:t>
      </w:r>
    </w:p>
    <w:p w:rsidR="00F77591" w:rsidRDefault="004A07C1">
      <w:pPr>
        <w:spacing w:after="352"/>
      </w:pPr>
      <w:r>
        <w:rPr>
          <w:rFonts w:ascii="Times New Roman" w:eastAsia="Times New Roman" w:hAnsi="Times New Roman" w:cs="Times New Roman"/>
          <w:b/>
          <w:sz w:val="30"/>
        </w:rPr>
        <w:t xml:space="preserve"> </w:t>
      </w:r>
    </w:p>
    <w:p w:rsidR="00F77591" w:rsidRDefault="004A07C1">
      <w:pPr>
        <w:spacing w:after="0"/>
        <w:ind w:left="284"/>
      </w:pPr>
      <w:r>
        <w:rPr>
          <w:rFonts w:ascii="Palatino Linotype" w:eastAsia="Palatino Linotype" w:hAnsi="Palatino Linotype" w:cs="Palatino Linotype"/>
          <w:sz w:val="30"/>
        </w:rPr>
        <w:t xml:space="preserve"> </w:t>
      </w:r>
    </w:p>
    <w:p w:rsidR="00F77591" w:rsidRDefault="004A07C1">
      <w:pPr>
        <w:spacing w:after="328"/>
        <w:ind w:right="3184"/>
        <w:jc w:val="center"/>
      </w:pPr>
      <w:r>
        <w:rPr>
          <w:noProof/>
        </w:rPr>
        <w:drawing>
          <wp:inline distT="0" distB="0" distL="0" distR="0">
            <wp:extent cx="3712744" cy="2554224"/>
            <wp:effectExtent l="0" t="0" r="0" b="0"/>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11"/>
                    <a:stretch>
                      <a:fillRect/>
                    </a:stretch>
                  </pic:blipFill>
                  <pic:spPr>
                    <a:xfrm>
                      <a:off x="0" y="0"/>
                      <a:ext cx="3712744" cy="2554224"/>
                    </a:xfrm>
                    <a:prstGeom prst="rect">
                      <a:avLst/>
                    </a:prstGeom>
                  </pic:spPr>
                </pic:pic>
              </a:graphicData>
            </a:graphic>
          </wp:inline>
        </w:drawing>
      </w:r>
      <w:r>
        <w:rPr>
          <w:rFonts w:ascii="Times New Roman" w:eastAsia="Times New Roman" w:hAnsi="Times New Roman" w:cs="Times New Roman"/>
          <w:b/>
          <w:sz w:val="24"/>
        </w:rPr>
        <w:t xml:space="preserve"> </w:t>
      </w:r>
    </w:p>
    <w:p w:rsidR="00F77591" w:rsidRDefault="004A07C1">
      <w:pPr>
        <w:spacing w:after="9" w:line="249" w:lineRule="auto"/>
        <w:ind w:left="-5" w:hanging="10"/>
      </w:pPr>
      <w:r>
        <w:rPr>
          <w:rFonts w:ascii="Book Antiqua" w:eastAsia="Book Antiqua" w:hAnsi="Book Antiqua" w:cs="Book Antiqua"/>
          <w:b/>
          <w:sz w:val="16"/>
        </w:rPr>
        <w:t xml:space="preserve">Şekil 2. </w:t>
      </w:r>
      <w:r>
        <w:rPr>
          <w:rFonts w:ascii="Book Antiqua" w:eastAsia="Book Antiqua" w:hAnsi="Book Antiqua" w:cs="Book Antiqua"/>
          <w:sz w:val="16"/>
        </w:rPr>
        <w:t xml:space="preserve">Vinorelbin uygulanmış HeLa hücrelerinin 24 saat süre sonundaki doza bağlı XTT analizi sonuçları </w:t>
      </w:r>
    </w:p>
    <w:p w:rsidR="00F77591" w:rsidRDefault="00F77591">
      <w:pPr>
        <w:sectPr w:rsidR="00F77591">
          <w:type w:val="continuous"/>
          <w:pgSz w:w="11904" w:h="16840"/>
          <w:pgMar w:top="1518" w:right="1689" w:bottom="3095" w:left="1134" w:header="708" w:footer="708" w:gutter="0"/>
          <w:cols w:space="708"/>
        </w:sectPr>
      </w:pPr>
    </w:p>
    <w:p w:rsidR="00F77591" w:rsidRDefault="004A07C1">
      <w:pPr>
        <w:spacing w:after="258"/>
      </w:pPr>
      <w:r>
        <w:rPr>
          <w:rFonts w:ascii="Times New Roman" w:eastAsia="Times New Roman" w:hAnsi="Times New Roman" w:cs="Times New Roman"/>
          <w:sz w:val="24"/>
        </w:rPr>
        <w:t xml:space="preserve"> </w:t>
      </w:r>
    </w:p>
    <w:p w:rsidR="00F77591" w:rsidRDefault="004A07C1">
      <w:pPr>
        <w:spacing w:after="137"/>
        <w:ind w:left="285"/>
      </w:pPr>
      <w:r>
        <w:rPr>
          <w:rFonts w:ascii="Palatino Linotype" w:eastAsia="Palatino Linotype" w:hAnsi="Palatino Linotype" w:cs="Palatino Linotype"/>
          <w:sz w:val="18"/>
        </w:rPr>
        <w:t xml:space="preserve"> </w:t>
      </w:r>
    </w:p>
    <w:p w:rsidR="00F77591" w:rsidRDefault="004A07C1">
      <w:pPr>
        <w:spacing w:after="6" w:line="270" w:lineRule="auto"/>
        <w:ind w:left="-15" w:right="31" w:firstLine="275"/>
        <w:jc w:val="both"/>
      </w:pPr>
      <w:r>
        <w:rPr>
          <w:rFonts w:ascii="Palatino Linotype" w:eastAsia="Palatino Linotype" w:hAnsi="Palatino Linotype" w:cs="Palatino Linotype"/>
          <w:sz w:val="18"/>
        </w:rPr>
        <w:t xml:space="preserve">20 ve 40μM vinorelbin uygulandığında hücrelerdeki </w:t>
      </w:r>
      <w:r>
        <w:rPr>
          <w:rFonts w:ascii="Palatino Linotype" w:eastAsia="Palatino Linotype" w:hAnsi="Palatino Linotype" w:cs="Palatino Linotype"/>
          <w:sz w:val="18"/>
        </w:rPr>
        <w:t xml:space="preserve">BCL2 ve CCDN1 mRNA’larının ifade edilme durumlarındaki değişikliği incelediğimizde ise, 20μM </w:t>
      </w:r>
      <w:r>
        <w:rPr>
          <w:rFonts w:ascii="Palatino Linotype" w:eastAsia="Palatino Linotype" w:hAnsi="Palatino Linotype" w:cs="Palatino Linotype"/>
          <w:sz w:val="18"/>
        </w:rPr>
        <w:t xml:space="preserve">Vinorelbin uygulamasının CCDN1 mRNA ifade düzeyini kontrole göre </w:t>
      </w:r>
    </w:p>
    <w:p w:rsidR="00F77591" w:rsidRDefault="004A07C1">
      <w:pPr>
        <w:spacing w:after="126" w:line="270" w:lineRule="auto"/>
        <w:ind w:left="-15" w:right="31"/>
        <w:jc w:val="both"/>
      </w:pPr>
      <w:r>
        <w:rPr>
          <w:rFonts w:ascii="Palatino Linotype" w:eastAsia="Palatino Linotype" w:hAnsi="Palatino Linotype" w:cs="Palatino Linotype"/>
          <w:sz w:val="18"/>
        </w:rPr>
        <w:t>1,5 kat arttığı (</w:t>
      </w:r>
      <w:r>
        <w:rPr>
          <w:rFonts w:ascii="Palatino Linotype" w:eastAsia="Palatino Linotype" w:hAnsi="Palatino Linotype" w:cs="Palatino Linotype"/>
          <w:i/>
          <w:sz w:val="18"/>
        </w:rPr>
        <w:t>p</w:t>
      </w:r>
      <w:r>
        <w:rPr>
          <w:rFonts w:ascii="Palatino Linotype" w:eastAsia="Palatino Linotype" w:hAnsi="Palatino Linotype" w:cs="Palatino Linotype"/>
          <w:sz w:val="18"/>
        </w:rPr>
        <w:t>&lt;0,05), BCL2 geninin mRNA ifade düzeyindeki gözlenen değişikliğin ise anlamlı b</w:t>
      </w:r>
      <w:r>
        <w:rPr>
          <w:rFonts w:ascii="Palatino Linotype" w:eastAsia="Palatino Linotype" w:hAnsi="Palatino Linotype" w:cs="Palatino Linotype"/>
          <w:sz w:val="18"/>
        </w:rPr>
        <w:t>ir farklılık oluşturmadığı bulundu (</w:t>
      </w:r>
      <w:r>
        <w:rPr>
          <w:rFonts w:ascii="Palatino Linotype" w:eastAsia="Palatino Linotype" w:hAnsi="Palatino Linotype" w:cs="Palatino Linotype"/>
          <w:i/>
          <w:sz w:val="18"/>
        </w:rPr>
        <w:t>p</w:t>
      </w:r>
      <w:r>
        <w:rPr>
          <w:rFonts w:ascii="Palatino Linotype" w:eastAsia="Palatino Linotype" w:hAnsi="Palatino Linotype" w:cs="Palatino Linotype"/>
          <w:sz w:val="18"/>
        </w:rPr>
        <w:t>&gt;0,05) (Şekil 4). 40μM vinorelbin uygulandığında ise kontrole göre BCL2 geninin mRNA ifade düzeyi 7,3 kat, CCDN1 geninin mRNA ifade düzeyinin ise 2 kat azaldığı saptandı (</w:t>
      </w:r>
      <w:r>
        <w:rPr>
          <w:rFonts w:ascii="Palatino Linotype" w:eastAsia="Palatino Linotype" w:hAnsi="Palatino Linotype" w:cs="Palatino Linotype"/>
          <w:i/>
          <w:sz w:val="18"/>
        </w:rPr>
        <w:t>p&lt;</w:t>
      </w:r>
      <w:r>
        <w:rPr>
          <w:rFonts w:ascii="Palatino Linotype" w:eastAsia="Palatino Linotype" w:hAnsi="Palatino Linotype" w:cs="Palatino Linotype"/>
          <w:sz w:val="18"/>
        </w:rPr>
        <w:t xml:space="preserve">0,05) (Şekil 5). </w:t>
      </w:r>
    </w:p>
    <w:p w:rsidR="00F77591" w:rsidRDefault="00F77591">
      <w:pPr>
        <w:sectPr w:rsidR="00F77591">
          <w:type w:val="continuous"/>
          <w:pgSz w:w="11904" w:h="16840"/>
          <w:pgMar w:top="1440" w:right="1131" w:bottom="1440" w:left="1134" w:header="708" w:footer="708" w:gutter="0"/>
          <w:cols w:num="2" w:space="237"/>
        </w:sectPr>
      </w:pPr>
    </w:p>
    <w:p w:rsidR="00F77591" w:rsidRDefault="004A07C1">
      <w:pPr>
        <w:spacing w:after="0"/>
      </w:pPr>
      <w:r>
        <w:rPr>
          <w:rFonts w:ascii="Book Antiqua" w:eastAsia="Book Antiqua" w:hAnsi="Book Antiqua" w:cs="Book Antiqua"/>
          <w:b/>
          <w:sz w:val="16"/>
        </w:rPr>
        <w:t xml:space="preserve"> </w:t>
      </w:r>
    </w:p>
    <w:p w:rsidR="00F77591" w:rsidRDefault="004A07C1">
      <w:pPr>
        <w:spacing w:after="126"/>
      </w:pPr>
      <w:r>
        <w:rPr>
          <w:rFonts w:ascii="Times New Roman" w:eastAsia="Times New Roman" w:hAnsi="Times New Roman" w:cs="Times New Roman"/>
          <w:sz w:val="10"/>
        </w:rPr>
        <w:t xml:space="preserve"> </w:t>
      </w:r>
    </w:p>
    <w:p w:rsidR="00F77591" w:rsidRDefault="004A07C1">
      <w:pPr>
        <w:spacing w:after="328"/>
      </w:pPr>
      <w:r>
        <w:rPr>
          <w:noProof/>
        </w:rPr>
        <w:lastRenderedPageBreak/>
        <w:drawing>
          <wp:inline distT="0" distB="0" distL="0" distR="0">
            <wp:extent cx="5013198" cy="2407920"/>
            <wp:effectExtent l="0" t="0" r="0" b="0"/>
            <wp:docPr id="3615"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12"/>
                    <a:stretch>
                      <a:fillRect/>
                    </a:stretch>
                  </pic:blipFill>
                  <pic:spPr>
                    <a:xfrm>
                      <a:off x="0" y="0"/>
                      <a:ext cx="5013198" cy="2407920"/>
                    </a:xfrm>
                    <a:prstGeom prst="rect">
                      <a:avLst/>
                    </a:prstGeom>
                  </pic:spPr>
                </pic:pic>
              </a:graphicData>
            </a:graphic>
          </wp:inline>
        </w:drawing>
      </w:r>
      <w:r>
        <w:rPr>
          <w:rFonts w:ascii="Times New Roman" w:eastAsia="Times New Roman" w:hAnsi="Times New Roman" w:cs="Times New Roman"/>
          <w:sz w:val="24"/>
        </w:rPr>
        <w:t xml:space="preserve"> </w:t>
      </w:r>
    </w:p>
    <w:p w:rsidR="00F77591" w:rsidRDefault="004A07C1">
      <w:pPr>
        <w:spacing w:after="45" w:line="249" w:lineRule="auto"/>
        <w:ind w:left="-5" w:hanging="10"/>
      </w:pPr>
      <w:r>
        <w:rPr>
          <w:rFonts w:ascii="Book Antiqua" w:eastAsia="Book Antiqua" w:hAnsi="Book Antiqua" w:cs="Book Antiqua"/>
          <w:b/>
          <w:sz w:val="16"/>
        </w:rPr>
        <w:t>Ş</w:t>
      </w:r>
      <w:r>
        <w:rPr>
          <w:rFonts w:ascii="Book Antiqua" w:eastAsia="Book Antiqua" w:hAnsi="Book Antiqua" w:cs="Book Antiqua"/>
          <w:b/>
          <w:sz w:val="16"/>
        </w:rPr>
        <w:t xml:space="preserve">ekil 3.    </w:t>
      </w:r>
      <w:r>
        <w:rPr>
          <w:rFonts w:ascii="Book Antiqua" w:eastAsia="Book Antiqua" w:hAnsi="Book Antiqua" w:cs="Book Antiqua"/>
          <w:sz w:val="16"/>
        </w:rPr>
        <w:t>24 saat süre ile Vinorelbin uygulanmış HeLa hücrelerinde apoptozun morfolojik olarak gösterilmesi</w:t>
      </w:r>
      <w:r>
        <w:rPr>
          <w:rFonts w:ascii="Book Antiqua" w:eastAsia="Book Antiqua" w:hAnsi="Book Antiqua" w:cs="Book Antiqua"/>
          <w:b/>
          <w:sz w:val="16"/>
        </w:rPr>
        <w:t xml:space="preserve"> </w:t>
      </w:r>
    </w:p>
    <w:p w:rsidR="00F77591" w:rsidRDefault="004A07C1">
      <w:pPr>
        <w:spacing w:after="177" w:line="261" w:lineRule="auto"/>
        <w:ind w:left="190" w:hanging="10"/>
      </w:pPr>
      <w:r>
        <w:rPr>
          <w:rFonts w:ascii="Book Antiqua" w:eastAsia="Book Antiqua" w:hAnsi="Book Antiqua" w:cs="Book Antiqua"/>
          <w:i/>
          <w:sz w:val="16"/>
        </w:rPr>
        <w:t>A: Kontrol, B: 40 µM Vinorelbin. Yeşil renkte görülen hücreler canlı hücreleri (1), kırmızı renkte görülen hücreler nekrotik hücreleri göstermekte</w:t>
      </w:r>
      <w:r>
        <w:rPr>
          <w:rFonts w:ascii="Book Antiqua" w:eastAsia="Book Antiqua" w:hAnsi="Book Antiqua" w:cs="Book Antiqua"/>
          <w:i/>
          <w:sz w:val="16"/>
        </w:rPr>
        <w:t>dir (3). Apoptozun aşamasına göre değişik şekillerde boyanmış olan apoptotik hücreler ise 2 numara ile gösterildi.</w:t>
      </w:r>
      <w:r>
        <w:rPr>
          <w:rFonts w:ascii="Times New Roman" w:eastAsia="Times New Roman" w:hAnsi="Times New Roman" w:cs="Times New Roman"/>
          <w:b/>
          <w:i/>
          <w:sz w:val="16"/>
        </w:rPr>
        <w:t xml:space="preserve"> </w:t>
      </w:r>
    </w:p>
    <w:p w:rsidR="00F77591" w:rsidRDefault="004A07C1">
      <w:pPr>
        <w:spacing w:after="133" w:line="326" w:lineRule="auto"/>
        <w:ind w:right="9598"/>
      </w:pPr>
      <w:r>
        <w:rPr>
          <w:rFonts w:ascii="Book Antiqua" w:eastAsia="Book Antiqua" w:hAnsi="Book Antiqua" w:cs="Book Antiqua"/>
          <w:b/>
          <w:sz w:val="16"/>
        </w:rPr>
        <w:t xml:space="preserve"> </w:t>
      </w:r>
      <w:r>
        <w:rPr>
          <w:rFonts w:ascii="Times New Roman" w:eastAsia="Times New Roman" w:hAnsi="Times New Roman" w:cs="Times New Roman"/>
          <w:b/>
          <w:sz w:val="16"/>
        </w:rPr>
        <w:t xml:space="preserve"> </w:t>
      </w:r>
    </w:p>
    <w:p w:rsidR="00F77591" w:rsidRDefault="004A07C1">
      <w:pPr>
        <w:spacing w:after="184"/>
      </w:pPr>
      <w:r>
        <w:rPr>
          <w:rFonts w:ascii="Times New Roman" w:eastAsia="Times New Roman" w:hAnsi="Times New Roman" w:cs="Times New Roman"/>
          <w:b/>
          <w:sz w:val="16"/>
        </w:rPr>
        <w:t xml:space="preserve"> </w:t>
      </w:r>
    </w:p>
    <w:p w:rsidR="00F77591" w:rsidRDefault="004A07C1">
      <w:pPr>
        <w:spacing w:after="144"/>
      </w:pPr>
      <w:r>
        <w:rPr>
          <w:rFonts w:ascii="Times New Roman" w:eastAsia="Times New Roman" w:hAnsi="Times New Roman" w:cs="Times New Roman"/>
          <w:b/>
          <w:sz w:val="16"/>
        </w:rPr>
        <w:t xml:space="preserve"> </w:t>
      </w:r>
    </w:p>
    <w:p w:rsidR="00F77591" w:rsidRDefault="004A07C1">
      <w:pPr>
        <w:spacing w:after="154"/>
        <w:ind w:right="4041"/>
        <w:jc w:val="center"/>
      </w:pPr>
      <w:r>
        <w:rPr>
          <w:noProof/>
        </w:rPr>
        <w:drawing>
          <wp:inline distT="0" distB="0" distL="0" distR="0">
            <wp:extent cx="3528822" cy="2740914"/>
            <wp:effectExtent l="0" t="0" r="0" b="0"/>
            <wp:docPr id="3655" name="Picture 3655"/>
            <wp:cNvGraphicFramePr/>
            <a:graphic xmlns:a="http://schemas.openxmlformats.org/drawingml/2006/main">
              <a:graphicData uri="http://schemas.openxmlformats.org/drawingml/2006/picture">
                <pic:pic xmlns:pic="http://schemas.openxmlformats.org/drawingml/2006/picture">
                  <pic:nvPicPr>
                    <pic:cNvPr id="3655" name="Picture 3655"/>
                    <pic:cNvPicPr/>
                  </pic:nvPicPr>
                  <pic:blipFill>
                    <a:blip r:embed="rId13"/>
                    <a:stretch>
                      <a:fillRect/>
                    </a:stretch>
                  </pic:blipFill>
                  <pic:spPr>
                    <a:xfrm>
                      <a:off x="0" y="0"/>
                      <a:ext cx="3528822" cy="2740914"/>
                    </a:xfrm>
                    <a:prstGeom prst="rect">
                      <a:avLst/>
                    </a:prstGeom>
                  </pic:spPr>
                </pic:pic>
              </a:graphicData>
            </a:graphic>
          </wp:inline>
        </w:drawing>
      </w:r>
      <w:r>
        <w:rPr>
          <w:rFonts w:ascii="Times New Roman" w:eastAsia="Times New Roman" w:hAnsi="Times New Roman" w:cs="Times New Roman"/>
          <w:b/>
          <w:sz w:val="16"/>
        </w:rPr>
        <w:t xml:space="preserve"> </w:t>
      </w:r>
    </w:p>
    <w:p w:rsidR="00F77591" w:rsidRDefault="004A07C1">
      <w:pPr>
        <w:spacing w:after="9" w:line="249" w:lineRule="auto"/>
        <w:ind w:left="-5" w:hanging="10"/>
      </w:pPr>
      <w:r>
        <w:rPr>
          <w:rFonts w:ascii="Times New Roman" w:eastAsia="Times New Roman" w:hAnsi="Times New Roman" w:cs="Times New Roman"/>
          <w:b/>
          <w:sz w:val="16"/>
        </w:rPr>
        <w:t>Ş</w:t>
      </w:r>
      <w:r>
        <w:rPr>
          <w:rFonts w:ascii="Bodoni MT" w:eastAsia="Bodoni MT" w:hAnsi="Bodoni MT" w:cs="Bodoni MT"/>
          <w:b/>
          <w:sz w:val="16"/>
        </w:rPr>
        <w:t xml:space="preserve">ekil 4.     </w:t>
      </w:r>
      <w:r>
        <w:rPr>
          <w:rFonts w:ascii="Book Antiqua" w:eastAsia="Book Antiqua" w:hAnsi="Book Antiqua" w:cs="Book Antiqua"/>
          <w:sz w:val="16"/>
        </w:rPr>
        <w:t>24 saat vinorelbin uygulanması sonrası akridin oranj (AO) ve etidyum bromür (EtBr) ile boyanmış</w:t>
      </w:r>
      <w:r>
        <w:rPr>
          <w:rFonts w:ascii="Book Antiqua" w:eastAsia="Book Antiqua" w:hAnsi="Book Antiqua" w:cs="Book Antiqua"/>
          <w:sz w:val="16"/>
        </w:rPr>
        <w:t xml:space="preserve"> HeLa hücrelerinin canlı, apoptotik ve nekrotik yüzdesel oranları</w:t>
      </w:r>
      <w:r>
        <w:rPr>
          <w:rFonts w:ascii="Bodoni MT" w:eastAsia="Bodoni MT" w:hAnsi="Bodoni MT" w:cs="Bodoni MT"/>
          <w:sz w:val="16"/>
        </w:rPr>
        <w:t xml:space="preserve"> </w:t>
      </w:r>
    </w:p>
    <w:p w:rsidR="00F77591" w:rsidRDefault="004A07C1">
      <w:pPr>
        <w:spacing w:after="463" w:line="504" w:lineRule="auto"/>
        <w:ind w:left="10" w:right="668" w:hanging="10"/>
        <w:jc w:val="right"/>
      </w:pPr>
      <w:r>
        <w:rPr>
          <w:rFonts w:ascii="Arial" w:eastAsia="Arial" w:hAnsi="Arial" w:cs="Arial"/>
          <w:sz w:val="15"/>
        </w:rPr>
        <w:t xml:space="preserve">İnsan servikal kanser HeLa hücrelerinde Vinorelbin’in apoptotik etkisi             </w:t>
      </w:r>
    </w:p>
    <w:p w:rsidR="00F77591" w:rsidRDefault="004A07C1">
      <w:pPr>
        <w:spacing w:after="328"/>
        <w:ind w:right="4431"/>
        <w:jc w:val="center"/>
      </w:pPr>
      <w:r>
        <w:rPr>
          <w:noProof/>
        </w:rPr>
        <w:lastRenderedPageBreak/>
        <w:drawing>
          <wp:inline distT="0" distB="0" distL="0" distR="0">
            <wp:extent cx="3268218" cy="2519172"/>
            <wp:effectExtent l="0" t="0" r="0" b="0"/>
            <wp:docPr id="3685" name="Picture 3685"/>
            <wp:cNvGraphicFramePr/>
            <a:graphic xmlns:a="http://schemas.openxmlformats.org/drawingml/2006/main">
              <a:graphicData uri="http://schemas.openxmlformats.org/drawingml/2006/picture">
                <pic:pic xmlns:pic="http://schemas.openxmlformats.org/drawingml/2006/picture">
                  <pic:nvPicPr>
                    <pic:cNvPr id="3685" name="Picture 3685"/>
                    <pic:cNvPicPr/>
                  </pic:nvPicPr>
                  <pic:blipFill>
                    <a:blip r:embed="rId14"/>
                    <a:stretch>
                      <a:fillRect/>
                    </a:stretch>
                  </pic:blipFill>
                  <pic:spPr>
                    <a:xfrm>
                      <a:off x="0" y="0"/>
                      <a:ext cx="3268218" cy="2519172"/>
                    </a:xfrm>
                    <a:prstGeom prst="rect">
                      <a:avLst/>
                    </a:prstGeom>
                  </pic:spPr>
                </pic:pic>
              </a:graphicData>
            </a:graphic>
          </wp:inline>
        </w:drawing>
      </w:r>
      <w:r>
        <w:rPr>
          <w:rFonts w:ascii="Times New Roman" w:eastAsia="Times New Roman" w:hAnsi="Times New Roman" w:cs="Times New Roman"/>
          <w:b/>
          <w:sz w:val="24"/>
        </w:rPr>
        <w:t xml:space="preserve"> </w:t>
      </w:r>
    </w:p>
    <w:p w:rsidR="00F77591" w:rsidRDefault="004A07C1">
      <w:pPr>
        <w:spacing w:after="9" w:line="249" w:lineRule="auto"/>
        <w:ind w:left="-5" w:hanging="10"/>
      </w:pPr>
      <w:r>
        <w:rPr>
          <w:rFonts w:ascii="Book Antiqua" w:eastAsia="Book Antiqua" w:hAnsi="Book Antiqua" w:cs="Book Antiqua"/>
          <w:b/>
          <w:sz w:val="16"/>
        </w:rPr>
        <w:t xml:space="preserve">Şekil 5.    </w:t>
      </w:r>
      <w:r>
        <w:rPr>
          <w:rFonts w:ascii="Book Antiqua" w:eastAsia="Book Antiqua" w:hAnsi="Book Antiqua" w:cs="Book Antiqua"/>
          <w:sz w:val="16"/>
        </w:rPr>
        <w:t>24 saat sürecince 20 ve 40µM</w:t>
      </w:r>
      <w:r>
        <w:rPr>
          <w:rFonts w:ascii="Book Antiqua" w:eastAsia="Book Antiqua" w:hAnsi="Book Antiqua" w:cs="Book Antiqua"/>
          <w:b/>
          <w:sz w:val="16"/>
        </w:rPr>
        <w:t xml:space="preserve"> </w:t>
      </w:r>
      <w:r>
        <w:rPr>
          <w:rFonts w:ascii="Book Antiqua" w:eastAsia="Book Antiqua" w:hAnsi="Book Antiqua" w:cs="Book Antiqua"/>
          <w:sz w:val="16"/>
        </w:rPr>
        <w:t>vinorelbin uygulanmış</w:t>
      </w:r>
      <w:r>
        <w:rPr>
          <w:rFonts w:ascii="Book Antiqua" w:eastAsia="Book Antiqua" w:hAnsi="Book Antiqua" w:cs="Book Antiqua"/>
          <w:sz w:val="16"/>
        </w:rPr>
        <w:t xml:space="preserve"> HeLa hücrelerinde BCL2 ve CCND1 mRNA ifade düzeyleri </w:t>
      </w:r>
    </w:p>
    <w:p w:rsidR="00F77591" w:rsidRDefault="00F77591">
      <w:pPr>
        <w:sectPr w:rsidR="00F77591">
          <w:type w:val="continuous"/>
          <w:pgSz w:w="11904" w:h="16840"/>
          <w:pgMar w:top="1518" w:right="1132" w:bottom="2715" w:left="1134" w:header="708" w:footer="708" w:gutter="0"/>
          <w:cols w:space="708"/>
        </w:sectPr>
      </w:pPr>
    </w:p>
    <w:p w:rsidR="00F77591" w:rsidRDefault="004A07C1">
      <w:pPr>
        <w:spacing w:after="121" w:line="249" w:lineRule="auto"/>
        <w:ind w:left="190" w:hanging="10"/>
      </w:pPr>
      <w:r>
        <w:rPr>
          <w:rFonts w:ascii="Book Antiqua" w:eastAsia="Book Antiqua" w:hAnsi="Book Antiqua" w:cs="Book Antiqua"/>
          <w:i/>
          <w:sz w:val="16"/>
        </w:rPr>
        <w:t>p</w:t>
      </w:r>
      <w:r>
        <w:rPr>
          <w:rFonts w:ascii="Book Antiqua" w:eastAsia="Book Antiqua" w:hAnsi="Book Antiqua" w:cs="Book Antiqua"/>
          <w:sz w:val="16"/>
        </w:rPr>
        <w:t>&lt;0,05</w:t>
      </w:r>
      <w:r>
        <w:rPr>
          <w:rFonts w:ascii="Book Antiqua" w:eastAsia="Book Antiqua" w:hAnsi="Book Antiqua" w:cs="Book Antiqua"/>
          <w:b/>
          <w:sz w:val="16"/>
        </w:rPr>
        <w:t xml:space="preserve">  </w:t>
      </w:r>
    </w:p>
    <w:p w:rsidR="00F77591" w:rsidRDefault="004A07C1">
      <w:pPr>
        <w:spacing w:after="249"/>
      </w:pPr>
      <w:r>
        <w:rPr>
          <w:rFonts w:ascii="Times New Roman" w:eastAsia="Times New Roman" w:hAnsi="Times New Roman" w:cs="Times New Roman"/>
          <w:b/>
          <w:sz w:val="24"/>
        </w:rPr>
        <w:t xml:space="preserve"> </w:t>
      </w:r>
    </w:p>
    <w:p w:rsidR="00F77591" w:rsidRDefault="004A07C1">
      <w:pPr>
        <w:spacing w:after="0"/>
        <w:ind w:left="708"/>
      </w:pPr>
      <w:r>
        <w:rPr>
          <w:rFonts w:ascii="Times New Roman" w:eastAsia="Times New Roman" w:hAnsi="Times New Roman" w:cs="Times New Roman"/>
          <w:sz w:val="24"/>
        </w:rPr>
        <w:t xml:space="preserve"> </w:t>
      </w:r>
    </w:p>
    <w:p w:rsidR="00F77591" w:rsidRDefault="004A07C1">
      <w:pPr>
        <w:pStyle w:val="Balk1"/>
        <w:ind w:left="-5"/>
      </w:pPr>
      <w:r>
        <w:t>TARTI</w:t>
      </w:r>
      <w:r>
        <w:t>Ş</w:t>
      </w:r>
      <w:r>
        <w:t>MA</w:t>
      </w:r>
      <w:r>
        <w:rPr>
          <w:b w:val="0"/>
        </w:rPr>
        <w:t xml:space="preserve">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Istomin ve ark yaptıkları bir çalışmada, vinorelbin uygulanmış olan HeLa hücrelerinin başlangıçtaki hücre sayısının yarısını öldürmek için gerekli olan dozun 48 s</w:t>
      </w:r>
      <w:r>
        <w:rPr>
          <w:rFonts w:ascii="Palatino Linotype" w:eastAsia="Palatino Linotype" w:hAnsi="Palatino Linotype" w:cs="Palatino Linotype"/>
          <w:sz w:val="18"/>
        </w:rPr>
        <w:t xml:space="preserve">aat süre için 7,4ng/ml (= 9,4μM) olduğu belirlenmiştir (30). Çalışmamızda ise hücrelerin yarısını öldürmek için gerekli olan dozun 24 saat için daha yüksek olduğunu bulduk. Bu farklılığın nedenleri ilacın uygulama sürelerinin aynı olmaması, değişik kültür </w:t>
      </w:r>
      <w:r>
        <w:rPr>
          <w:rFonts w:ascii="Palatino Linotype" w:eastAsia="Palatino Linotype" w:hAnsi="Palatino Linotype" w:cs="Palatino Linotype"/>
          <w:sz w:val="18"/>
        </w:rPr>
        <w:t xml:space="preserve">koşulları ve hücre sayıları olabilir.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İnsan T hücresi lenfoma hücre hatlarında ve fare lösemi hücrelerinde vinorelbinin mitokondri aracılı içsel apoptotik yolağı aktive ettiği belirlenmiştir (31,32). Apoptotik cevabın kontrolünde iş gören bir molekülü şif</w:t>
      </w:r>
      <w:r>
        <w:rPr>
          <w:rFonts w:ascii="Palatino Linotype" w:eastAsia="Palatino Linotype" w:hAnsi="Palatino Linotype" w:cs="Palatino Linotype"/>
          <w:sz w:val="18"/>
        </w:rPr>
        <w:t xml:space="preserve">releyen BCL2 geninin mRNA ifadesinin mikrotübül hedefleyen ajanlarla düzenlenerek kemoterapötik yanıtla ilişkilendirilmesi çeşitli çalışmalarla desteklenmiştir (33,34). BCL2’nin aşırı ifade edilmesinin apoptozu geciktirdiği, birçok hücre ve dokuda </w:t>
      </w:r>
      <w:r>
        <w:rPr>
          <w:rFonts w:ascii="Palatino Linotype" w:eastAsia="Palatino Linotype" w:hAnsi="Palatino Linotype" w:cs="Palatino Linotype"/>
          <w:i/>
          <w:sz w:val="18"/>
        </w:rPr>
        <w:t>in vivo</w:t>
      </w:r>
      <w:r>
        <w:rPr>
          <w:rFonts w:ascii="Palatino Linotype" w:eastAsia="Palatino Linotype" w:hAnsi="Palatino Linotype" w:cs="Palatino Linotype"/>
          <w:sz w:val="18"/>
        </w:rPr>
        <w:t xml:space="preserve"> </w:t>
      </w:r>
      <w:r>
        <w:rPr>
          <w:rFonts w:ascii="Palatino Linotype" w:eastAsia="Palatino Linotype" w:hAnsi="Palatino Linotype" w:cs="Palatino Linotype"/>
          <w:sz w:val="18"/>
        </w:rPr>
        <w:t xml:space="preserve">ve </w:t>
      </w:r>
      <w:r>
        <w:rPr>
          <w:rFonts w:ascii="Palatino Linotype" w:eastAsia="Palatino Linotype" w:hAnsi="Palatino Linotype" w:cs="Palatino Linotype"/>
          <w:i/>
          <w:sz w:val="18"/>
        </w:rPr>
        <w:t>in vitro</w:t>
      </w:r>
      <w:r>
        <w:rPr>
          <w:rFonts w:ascii="Palatino Linotype" w:eastAsia="Palatino Linotype" w:hAnsi="Palatino Linotype" w:cs="Palatino Linotype"/>
          <w:sz w:val="18"/>
        </w:rPr>
        <w:t xml:space="preserve"> olarak gösterilmiştir (35‐38).</w:t>
      </w:r>
      <w:r>
        <w:rPr>
          <w:rFonts w:ascii="Palatino Linotype" w:eastAsia="Palatino Linotype" w:hAnsi="Palatino Linotype" w:cs="Palatino Linotype"/>
          <w:b/>
          <w:sz w:val="18"/>
        </w:rPr>
        <w:t xml:space="preserve"> </w:t>
      </w:r>
      <w:r>
        <w:rPr>
          <w:rFonts w:ascii="Palatino Linotype" w:eastAsia="Palatino Linotype" w:hAnsi="Palatino Linotype" w:cs="Palatino Linotype"/>
          <w:sz w:val="18"/>
        </w:rPr>
        <w:t>Örneğin yapılan bir çalışmada, primer meme kanseri hücrelerine vinorelbin’i de içeren dört farklı klasik kemoterapi ajanı uygulaması sonucunda, hücrelerinin kemoterapiye duyarlılığı ile BCL2 geninin ifade edilmesi</w:t>
      </w:r>
      <w:r>
        <w:rPr>
          <w:rFonts w:ascii="Palatino Linotype" w:eastAsia="Palatino Linotype" w:hAnsi="Palatino Linotype" w:cs="Palatino Linotype"/>
          <w:sz w:val="18"/>
        </w:rPr>
        <w:t xml:space="preserve"> arasında negatif korelasyon olduğu bulunmuştur. Üstelik, BCL2ʹnin antiapoptotik etkisinden dolayı, BCL2 pozitif </w:t>
      </w:r>
      <w:r>
        <w:rPr>
          <w:rFonts w:ascii="Palatino Linotype" w:eastAsia="Palatino Linotype" w:hAnsi="Palatino Linotype" w:cs="Palatino Linotype"/>
          <w:sz w:val="18"/>
        </w:rPr>
        <w:t>olan meme kanseri hücrelerinin kemoterapi ilaçlarına direnç gösterebileceği gösterilmiştir. BCL2 bakımından pozitif olan meme kanseri hücreleri</w:t>
      </w:r>
      <w:r>
        <w:rPr>
          <w:rFonts w:ascii="Palatino Linotype" w:eastAsia="Palatino Linotype" w:hAnsi="Palatino Linotype" w:cs="Palatino Linotype"/>
          <w:sz w:val="18"/>
        </w:rPr>
        <w:t>nde gözlenen çoğalmayı baskılayıcı etkinin, vinorelbin uygulandığında diğer kemoterapi ajanlarına (5‐florourasil, epirubisin adriyamisin, diamindiklorplatinyum) oranla daha fazla olduğu bulunmuştur. Ancak bu çalışmada kullanılan kemoterapi ajanlarının BCL2</w:t>
      </w:r>
      <w:r>
        <w:rPr>
          <w:rFonts w:ascii="Palatino Linotype" w:eastAsia="Palatino Linotype" w:hAnsi="Palatino Linotype" w:cs="Palatino Linotype"/>
          <w:sz w:val="18"/>
        </w:rPr>
        <w:t xml:space="preserve"> geninin ifade edilmesi üzerine bir etkisinin olup olmadığı araştırılmamıştır (39). Mikrotübül hedefleyen ajanlar, Bcl2 fosforilasyonunu ya da molekülün ifadesinin azalmasını uyararak, hücrede apoptoza neden oldukları için tedavide yer almaktadır</w:t>
      </w:r>
      <w:r>
        <w:rPr>
          <w:rFonts w:ascii="Palatino Linotype" w:eastAsia="Palatino Linotype" w:hAnsi="Palatino Linotype" w:cs="Palatino Linotype"/>
          <w:b/>
          <w:sz w:val="18"/>
        </w:rPr>
        <w:t xml:space="preserve"> </w:t>
      </w:r>
      <w:r>
        <w:rPr>
          <w:rFonts w:ascii="Palatino Linotype" w:eastAsia="Palatino Linotype" w:hAnsi="Palatino Linotype" w:cs="Palatino Linotype"/>
          <w:sz w:val="18"/>
        </w:rPr>
        <w:t xml:space="preserve">(40‐42). </w:t>
      </w:r>
      <w:r>
        <w:rPr>
          <w:rFonts w:ascii="Palatino Linotype" w:eastAsia="Palatino Linotype" w:hAnsi="Palatino Linotype" w:cs="Palatino Linotype"/>
          <w:sz w:val="18"/>
        </w:rPr>
        <w:t>Çalışmamızda, yüksek dozlarda (&gt;40μM) apoptotik hücrelerin oranında artış olmasına rağmen çok yüksek bir oranda da hücrelerin nekroza girdiğini gözlemledik. Bundan dolayı, mRNA ifade edilme düzeylerine ilişkin deneylerimizi sitotoksik etki gözlenen 80 ve 1</w:t>
      </w:r>
      <w:r>
        <w:rPr>
          <w:rFonts w:ascii="Palatino Linotype" w:eastAsia="Palatino Linotype" w:hAnsi="Palatino Linotype" w:cs="Palatino Linotype"/>
          <w:sz w:val="18"/>
        </w:rPr>
        <w:t>00μM dozları dahil etmeyip, istatiksel olarak anlamlı bulduğumuz 20 ve 40μM dozları hedefledik. Yapılan bir çalışmada, insan küçük hücre dışı karsinom hücre hattı olan A549 ve meme kanser hücre hattı olan MCF7 hücrelerine vinorelbin uygulamasının, Bcl2 pro</w:t>
      </w:r>
      <w:r>
        <w:rPr>
          <w:rFonts w:ascii="Palatino Linotype" w:eastAsia="Palatino Linotype" w:hAnsi="Palatino Linotype" w:cs="Palatino Linotype"/>
          <w:sz w:val="18"/>
        </w:rPr>
        <w:t>tein miktarında azalmaya neden olduğu gösterilmiştir</w:t>
      </w:r>
      <w:r>
        <w:rPr>
          <w:rFonts w:ascii="Palatino Linotype" w:eastAsia="Palatino Linotype" w:hAnsi="Palatino Linotype" w:cs="Palatino Linotype"/>
          <w:b/>
          <w:sz w:val="18"/>
        </w:rPr>
        <w:t xml:space="preserve"> </w:t>
      </w:r>
      <w:r>
        <w:rPr>
          <w:rFonts w:ascii="Palatino Linotype" w:eastAsia="Palatino Linotype" w:hAnsi="Palatino Linotype" w:cs="Palatino Linotype"/>
          <w:sz w:val="18"/>
        </w:rPr>
        <w:t>(43).</w:t>
      </w:r>
      <w:r>
        <w:rPr>
          <w:rFonts w:ascii="Palatino Linotype" w:eastAsia="Palatino Linotype" w:hAnsi="Palatino Linotype" w:cs="Palatino Linotype"/>
          <w:b/>
          <w:sz w:val="18"/>
        </w:rPr>
        <w:t xml:space="preserve"> </w:t>
      </w:r>
      <w:r>
        <w:rPr>
          <w:rFonts w:ascii="Palatino Linotype" w:eastAsia="Palatino Linotype" w:hAnsi="Palatino Linotype" w:cs="Palatino Linotype"/>
          <w:sz w:val="18"/>
        </w:rPr>
        <w:t xml:space="preserve">Bizde, benzer şekilde BCL2 mRNA ifade düzeyinin vinorelbin uygulamasından (40μM) sonraki 24 saat içinde 7,3 kat azaldığını belirledik.  </w:t>
      </w:r>
    </w:p>
    <w:p w:rsidR="00F77591" w:rsidRDefault="004A07C1">
      <w:pPr>
        <w:spacing w:after="126" w:line="270" w:lineRule="auto"/>
        <w:ind w:left="-15" w:right="31" w:firstLine="275"/>
        <w:jc w:val="both"/>
      </w:pPr>
      <w:r>
        <w:rPr>
          <w:rFonts w:ascii="Palatino Linotype" w:eastAsia="Palatino Linotype" w:hAnsi="Palatino Linotype" w:cs="Palatino Linotype"/>
          <w:sz w:val="18"/>
        </w:rPr>
        <w:t>Etkisini mikrotübüller üzerinden göstererek hücre bölünmesin</w:t>
      </w:r>
      <w:r>
        <w:rPr>
          <w:rFonts w:ascii="Palatino Linotype" w:eastAsia="Palatino Linotype" w:hAnsi="Palatino Linotype" w:cs="Palatino Linotype"/>
          <w:sz w:val="18"/>
        </w:rPr>
        <w:t>de metafazdan anafaza geçişi engellediği bilinen vinorelbin molekülünün (4),</w:t>
      </w:r>
      <w:r>
        <w:rPr>
          <w:rFonts w:ascii="Palatino Linotype" w:eastAsia="Palatino Linotype" w:hAnsi="Palatino Linotype" w:cs="Palatino Linotype"/>
          <w:color w:val="1F487B"/>
          <w:sz w:val="18"/>
        </w:rPr>
        <w:t xml:space="preserve"> </w:t>
      </w:r>
      <w:r>
        <w:rPr>
          <w:rFonts w:ascii="Palatino Linotype" w:eastAsia="Palatino Linotype" w:hAnsi="Palatino Linotype" w:cs="Palatino Linotype"/>
          <w:sz w:val="18"/>
        </w:rPr>
        <w:t>aynı</w:t>
      </w:r>
      <w:r>
        <w:rPr>
          <w:rFonts w:ascii="Palatino Linotype" w:eastAsia="Palatino Linotype" w:hAnsi="Palatino Linotype" w:cs="Palatino Linotype"/>
          <w:b/>
          <w:sz w:val="18"/>
        </w:rPr>
        <w:t xml:space="preserve"> </w:t>
      </w:r>
      <w:r>
        <w:rPr>
          <w:rFonts w:ascii="Palatino Linotype" w:eastAsia="Palatino Linotype" w:hAnsi="Palatino Linotype" w:cs="Palatino Linotype"/>
          <w:sz w:val="18"/>
        </w:rPr>
        <w:t xml:space="preserve">zamanda CCND1 ifadesini azaltarak hücre döngüsünün G1/S geçişini de </w:t>
      </w:r>
      <w:r>
        <w:rPr>
          <w:rFonts w:ascii="Palatino Linotype" w:eastAsia="Palatino Linotype" w:hAnsi="Palatino Linotype" w:cs="Palatino Linotype"/>
          <w:sz w:val="18"/>
        </w:rPr>
        <w:lastRenderedPageBreak/>
        <w:t xml:space="preserve">engelleyebileceği osteosarkoma hücre hattı olan HOS’da gösterilmiştir (44). Çalışmamızda, vinorelbin HeLa </w:t>
      </w:r>
      <w:r>
        <w:rPr>
          <w:rFonts w:ascii="Palatino Linotype" w:eastAsia="Palatino Linotype" w:hAnsi="Palatino Linotype" w:cs="Palatino Linotype"/>
          <w:sz w:val="18"/>
        </w:rPr>
        <w:t>hücrelerine düşük dozda (20μM) uygulandığında CCND1 ifadesini azaltmadığı, buna karşın yüksek dozda (40μM) uygulandığında kontrole göre 2 kat azalmaya neden olduğunu belirledik (</w:t>
      </w:r>
      <w:r>
        <w:rPr>
          <w:rFonts w:ascii="Palatino Linotype" w:eastAsia="Palatino Linotype" w:hAnsi="Palatino Linotype" w:cs="Palatino Linotype"/>
          <w:i/>
          <w:sz w:val="18"/>
        </w:rPr>
        <w:t>p</w:t>
      </w:r>
      <w:r>
        <w:rPr>
          <w:rFonts w:ascii="Palatino Linotype" w:eastAsia="Palatino Linotype" w:hAnsi="Palatino Linotype" w:cs="Palatino Linotype"/>
          <w:sz w:val="18"/>
        </w:rPr>
        <w:t>&lt;0,05). Bu durum vinorelbinin yüksek dozlarda G1/S geçişini engellediğini fak</w:t>
      </w:r>
      <w:r>
        <w:rPr>
          <w:rFonts w:ascii="Palatino Linotype" w:eastAsia="Palatino Linotype" w:hAnsi="Palatino Linotype" w:cs="Palatino Linotype"/>
          <w:sz w:val="18"/>
        </w:rPr>
        <w:t>at düşük dozlarda ise böyle bir etkiyi oluşturamadığını göstermektedir. Dolayısı ile 20μM vinorelbin CCDN1 geninin mRNA ifade düzeyinde 1,5 katlık bir artışa neden olmuştur. Bir başka deyişle, düşük doz (&lt;40μM) vinorelbin uygulaması normalde gözlenen metaf</w:t>
      </w:r>
      <w:r>
        <w:rPr>
          <w:rFonts w:ascii="Palatino Linotype" w:eastAsia="Palatino Linotype" w:hAnsi="Palatino Linotype" w:cs="Palatino Linotype"/>
          <w:sz w:val="18"/>
        </w:rPr>
        <w:t>az/anafaz geçişinin engellenmesi için yeterli değildir. İnsan lenfosit hücrelerinde yapılan bir çalışmada 0,5 ‐ 2μg/ml (0,64mM – 2,56mM) gibi çok yüksek dozlarda vinorelbin uygulamasının, yapısal kromozom bozukluğuna neden olmadığı ancak lenfositlerde sayı</w:t>
      </w:r>
      <w:r>
        <w:rPr>
          <w:rFonts w:ascii="Palatino Linotype" w:eastAsia="Palatino Linotype" w:hAnsi="Palatino Linotype" w:cs="Palatino Linotype"/>
          <w:sz w:val="18"/>
        </w:rPr>
        <w:t>sal kromozom kusurları oluşturduğu, hücrelerdeki kardeş kromatid değişimi miktarında artışa neden olduğu ve mitotik indeksin arttığı bildirilmiştir (45). Mitotik indeksteki artışın nedeni araştırıcılar tarafından incelenmemesine karşın yüksek dozdaki bu uy</w:t>
      </w:r>
      <w:r>
        <w:rPr>
          <w:rFonts w:ascii="Palatino Linotype" w:eastAsia="Palatino Linotype" w:hAnsi="Palatino Linotype" w:cs="Palatino Linotype"/>
          <w:sz w:val="18"/>
        </w:rPr>
        <w:t xml:space="preserve">gulamanın lenfositlerdeki metafaz/anafaz geçişinin engellemesi nedeniyle mitoz aşamasında olan hücrelerin birikmesi neden olmuş olabilir. Dolayısı ile kemoterapide kullanılan ilaçların düşük ve yüksek dozlarda sergiledikleri farklı etkilerin belirlenmesi, </w:t>
      </w:r>
      <w:r>
        <w:rPr>
          <w:rFonts w:ascii="Palatino Linotype" w:eastAsia="Palatino Linotype" w:hAnsi="Palatino Linotype" w:cs="Palatino Linotype"/>
          <w:sz w:val="18"/>
        </w:rPr>
        <w:t xml:space="preserve">moleküler mekanizmalarının tanımlanması daha etkili tedavi yaklaşımları ve ajanların geliştirilmesi için önem taşımaktadır. </w:t>
      </w:r>
    </w:p>
    <w:p w:rsidR="00F77591" w:rsidRDefault="004A07C1">
      <w:pPr>
        <w:spacing w:after="126" w:line="270" w:lineRule="auto"/>
        <w:ind w:left="-15" w:right="31"/>
        <w:jc w:val="both"/>
      </w:pPr>
      <w:r>
        <w:rPr>
          <w:rFonts w:ascii="Palatino Linotype" w:eastAsia="Palatino Linotype" w:hAnsi="Palatino Linotype" w:cs="Palatino Linotype"/>
          <w:sz w:val="18"/>
        </w:rPr>
        <w:t>Sonuç olarak, çalışmamız, insan serviks karsinom (HeLa) hücre hattında vinorelbin’in 24 saat için yüksek konsantrasyonlarda (&gt;40μM)</w:t>
      </w:r>
      <w:r>
        <w:rPr>
          <w:rFonts w:ascii="Palatino Linotype" w:eastAsia="Palatino Linotype" w:hAnsi="Palatino Linotype" w:cs="Palatino Linotype"/>
          <w:sz w:val="18"/>
        </w:rPr>
        <w:t xml:space="preserve"> apoptotik etkinin yanında nekrotik etkiye de neden olduğunu göstermiştir. Diğer bir deyişle, HeLa hücreleri için 24’üncü saat ve 40μM’ın en uygun apoptotik doz olduğunu ve hücrede kayda değer bir sitotoksisite yaratmadığını belirledik. Üstelik, antiapopto</w:t>
      </w:r>
      <w:r>
        <w:rPr>
          <w:rFonts w:ascii="Palatino Linotype" w:eastAsia="Palatino Linotype" w:hAnsi="Palatino Linotype" w:cs="Palatino Linotype"/>
          <w:sz w:val="18"/>
        </w:rPr>
        <w:t>tik gen olan BCL2 ile hücre döngüsünün ilerlemesinde rol alan CCND1 genlerinin mRNA ifadesindeki azalma vinorelbin’in kanser tedavisindeki önemini göstermektedir. Diğer bir yandan, 24 saat vinorelbin uygulamasına ek olarak diğer sürelerde vinorelbin uygula</w:t>
      </w:r>
      <w:r>
        <w:rPr>
          <w:rFonts w:ascii="Palatino Linotype" w:eastAsia="Palatino Linotype" w:hAnsi="Palatino Linotype" w:cs="Palatino Linotype"/>
          <w:sz w:val="18"/>
        </w:rPr>
        <w:t>malarının da araştırılması, bu ilacın moleküler etkilerinin anlaşılması için daha verimli olabilecektir. Ayrıca elde ettiğimiz apoptotik oranların akım sitometrisi ile mRNA ifade değişikliklerinin ise western blot yöntemi ile protein düzeyinde araştırılmas</w:t>
      </w:r>
      <w:r>
        <w:rPr>
          <w:rFonts w:ascii="Palatino Linotype" w:eastAsia="Palatino Linotype" w:hAnsi="Palatino Linotype" w:cs="Palatino Linotype"/>
          <w:sz w:val="18"/>
        </w:rPr>
        <w:t xml:space="preserve">ı verilerin daha güçlü olmasına imkan verecektir. </w:t>
      </w:r>
      <w:r>
        <w:rPr>
          <w:rFonts w:ascii="Palatino Linotype" w:eastAsia="Palatino Linotype" w:hAnsi="Palatino Linotype" w:cs="Palatino Linotype"/>
          <w:sz w:val="18"/>
        </w:rPr>
        <w:t>Vinorelbin’in HeLa ve diğer kanser hücre hatlarındaki etkisinin belirlenmesi, daha etkin tedavi seçeneklerinin bulunmasına yol açabileceği gibi ilaç uygulamalarından sonra aktifleşen sinyal yolaklarının mol</w:t>
      </w:r>
      <w:r>
        <w:rPr>
          <w:rFonts w:ascii="Palatino Linotype" w:eastAsia="Palatino Linotype" w:hAnsi="Palatino Linotype" w:cs="Palatino Linotype"/>
          <w:sz w:val="18"/>
        </w:rPr>
        <w:t>eküler düzeyde tanımlanması bu yolaklara özgül olabilecek yeni moleküllerin tasarlanmasına ve kanser tedavisinde daha başarılı yaklaşımların ortaya çıkmasına katkı sağlayabilecektir.</w:t>
      </w:r>
      <w:r>
        <w:rPr>
          <w:rFonts w:ascii="Palatino Linotype" w:eastAsia="Palatino Linotype" w:hAnsi="Palatino Linotype" w:cs="Palatino Linotype"/>
          <w:b/>
          <w:sz w:val="18"/>
        </w:rPr>
        <w:t xml:space="preserve">  </w:t>
      </w:r>
    </w:p>
    <w:p w:rsidR="00F77591" w:rsidRDefault="004A07C1">
      <w:pPr>
        <w:pStyle w:val="Balk1"/>
        <w:spacing w:after="187"/>
        <w:ind w:left="-5"/>
      </w:pPr>
      <w:r>
        <w:t>KAYNAKLAR</w:t>
      </w:r>
      <w:r>
        <w:t xml:space="preserve">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Parkin DM, Bray F, Ferlay J, Pisani P. Global cancer statistics, 2002. CA Cancer J Clin 2005; 55: 74-108.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Jemal A, Thomas A, Murray T, Thun M. Cancer statistics, 2002. CA Cancer J Clin 2002; 52: 23-47. </w:t>
      </w:r>
    </w:p>
    <w:p w:rsidR="00F77591" w:rsidRDefault="004A07C1">
      <w:pPr>
        <w:numPr>
          <w:ilvl w:val="0"/>
          <w:numId w:val="1"/>
        </w:numPr>
        <w:spacing w:after="8" w:line="310" w:lineRule="auto"/>
        <w:ind w:hanging="358"/>
        <w:jc w:val="both"/>
      </w:pPr>
      <w:r>
        <w:rPr>
          <w:rFonts w:ascii="Bodoni MT" w:eastAsia="Bodoni MT" w:hAnsi="Bodoni MT" w:cs="Bodoni MT"/>
          <w:sz w:val="18"/>
        </w:rPr>
        <w:t>T.C. Sa</w:t>
      </w:r>
      <w:r>
        <w:rPr>
          <w:rFonts w:ascii="Times New Roman" w:eastAsia="Times New Roman" w:hAnsi="Times New Roman" w:cs="Times New Roman"/>
          <w:sz w:val="18"/>
        </w:rPr>
        <w:t>ğ</w:t>
      </w:r>
      <w:r>
        <w:rPr>
          <w:rFonts w:ascii="Bodoni MT" w:eastAsia="Bodoni MT" w:hAnsi="Bodoni MT" w:cs="Bodoni MT"/>
          <w:sz w:val="18"/>
        </w:rPr>
        <w:t>lık Bakanlı</w:t>
      </w:r>
      <w:r>
        <w:rPr>
          <w:rFonts w:ascii="Times New Roman" w:eastAsia="Times New Roman" w:hAnsi="Times New Roman" w:cs="Times New Roman"/>
          <w:sz w:val="18"/>
        </w:rPr>
        <w:t>ğ</w:t>
      </w:r>
      <w:r>
        <w:rPr>
          <w:rFonts w:ascii="Bodoni MT" w:eastAsia="Bodoni MT" w:hAnsi="Bodoni MT" w:cs="Bodoni MT"/>
          <w:sz w:val="18"/>
        </w:rPr>
        <w:t xml:space="preserve">ı Kanser </w:t>
      </w:r>
      <w:r>
        <w:rPr>
          <w:rFonts w:ascii="Times New Roman" w:eastAsia="Times New Roman" w:hAnsi="Times New Roman" w:cs="Times New Roman"/>
          <w:sz w:val="18"/>
        </w:rPr>
        <w:t>İ</w:t>
      </w:r>
      <w:r>
        <w:rPr>
          <w:rFonts w:ascii="Bodoni MT" w:eastAsia="Bodoni MT" w:hAnsi="Bodoni MT" w:cs="Bodoni MT"/>
          <w:sz w:val="18"/>
        </w:rPr>
        <w:t>statistikleri 2005, UR</w:t>
      </w:r>
      <w:r>
        <w:rPr>
          <w:rFonts w:ascii="Bodoni MT" w:eastAsia="Bodoni MT" w:hAnsi="Bodoni MT" w:cs="Bodoni MT"/>
          <w:sz w:val="18"/>
        </w:rPr>
        <w:t xml:space="preserve">L: </w:t>
      </w:r>
    </w:p>
    <w:p w:rsidR="00F77591" w:rsidRDefault="004A07C1">
      <w:pPr>
        <w:spacing w:after="90"/>
        <w:ind w:right="14"/>
        <w:jc w:val="right"/>
      </w:pPr>
      <w:r>
        <w:rPr>
          <w:rFonts w:ascii="Bodoni MT" w:eastAsia="Bodoni MT" w:hAnsi="Bodoni MT" w:cs="Bodoni MT"/>
          <w:sz w:val="18"/>
        </w:rPr>
        <w:t xml:space="preserve">http://www.saglik.gov.tr/TR/belge/1-7179/eski2yeni.html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Jordan MA, Wilson L. Microtubules as a target for anticancer drugs. Nat Rev Cancer 2004; 4: 253-265.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Johnson SA, Harper P, Hortobagyi GN, Pouillart P. Vinorelbine: an overview. Cancer Treat Rev </w:t>
      </w:r>
      <w:r>
        <w:rPr>
          <w:rFonts w:ascii="Bodoni MT" w:eastAsia="Bodoni MT" w:hAnsi="Bodoni MT" w:cs="Bodoni MT"/>
          <w:sz w:val="18"/>
        </w:rPr>
        <w:t xml:space="preserve">1996; 22: 127-142.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Crown J. Optimising treatment outcomes: a review of current management strategies in first-line chemotherapy of metastatic breast cancer. Eur J Cancer 1997;33: 15-19. </w:t>
      </w:r>
    </w:p>
    <w:p w:rsidR="00F77591" w:rsidRDefault="004A07C1">
      <w:pPr>
        <w:numPr>
          <w:ilvl w:val="0"/>
          <w:numId w:val="1"/>
        </w:numPr>
        <w:spacing w:after="42" w:line="310" w:lineRule="auto"/>
        <w:ind w:hanging="358"/>
        <w:jc w:val="both"/>
      </w:pPr>
      <w:r>
        <w:rPr>
          <w:rFonts w:ascii="Bodoni MT" w:eastAsia="Bodoni MT" w:hAnsi="Bodoni MT" w:cs="Bodoni MT"/>
          <w:sz w:val="18"/>
        </w:rPr>
        <w:t>Bunn PA Jr, Kelly K. New chemotherapeutic agents prolong survival an</w:t>
      </w:r>
      <w:r>
        <w:rPr>
          <w:rFonts w:ascii="Bodoni MT" w:eastAsia="Bodoni MT" w:hAnsi="Bodoni MT" w:cs="Bodoni MT"/>
          <w:sz w:val="18"/>
        </w:rPr>
        <w:t xml:space="preserve">d improve  quality of life in non-small cell lung cancer: a review of the literature and future directions. Clin Cancer Res 1998; 4: 1087-1100. </w:t>
      </w:r>
    </w:p>
    <w:p w:rsidR="00F77591" w:rsidRDefault="004A07C1">
      <w:pPr>
        <w:numPr>
          <w:ilvl w:val="0"/>
          <w:numId w:val="1"/>
        </w:numPr>
        <w:spacing w:after="42" w:line="310" w:lineRule="auto"/>
        <w:ind w:hanging="358"/>
        <w:jc w:val="both"/>
      </w:pPr>
      <w:r>
        <w:rPr>
          <w:rFonts w:ascii="Bodoni MT" w:eastAsia="Bodoni MT" w:hAnsi="Bodoni MT" w:cs="Bodoni MT"/>
          <w:sz w:val="18"/>
        </w:rPr>
        <w:t>Kerr JF, Wyllie AH, Currie AR. Apoptosis: a basic biological phenomenon with wide-ranging implications in tissu</w:t>
      </w:r>
      <w:r>
        <w:rPr>
          <w:rFonts w:ascii="Bodoni MT" w:eastAsia="Bodoni MT" w:hAnsi="Bodoni MT" w:cs="Bodoni MT"/>
          <w:sz w:val="18"/>
        </w:rPr>
        <w:t xml:space="preserve">e kinetics. Br J Cancer 1972; 26: 239-257.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Kerr JF, Winterford CM, Harmon BV. Apoptosis. Its significance in cancer and cancer therapy. Cancer 1994; 73: 2013-2026.  </w:t>
      </w:r>
    </w:p>
    <w:p w:rsidR="00F77591" w:rsidRDefault="004A07C1">
      <w:pPr>
        <w:numPr>
          <w:ilvl w:val="0"/>
          <w:numId w:val="1"/>
        </w:numPr>
        <w:spacing w:after="42" w:line="310" w:lineRule="auto"/>
        <w:ind w:hanging="358"/>
        <w:jc w:val="both"/>
      </w:pPr>
      <w:r>
        <w:rPr>
          <w:rFonts w:ascii="Bodoni MT" w:eastAsia="Bodoni MT" w:hAnsi="Bodoni MT" w:cs="Bodoni MT"/>
          <w:sz w:val="18"/>
        </w:rPr>
        <w:t>Tanaka K, Iwamoto S, Gon G, Nohara T, Iwamoto M, Tanigawa N. Expression of survivin and i</w:t>
      </w:r>
      <w:r>
        <w:rPr>
          <w:rFonts w:ascii="Bodoni MT" w:eastAsia="Bodoni MT" w:hAnsi="Bodoni MT" w:cs="Bodoni MT"/>
          <w:sz w:val="18"/>
        </w:rPr>
        <w:t xml:space="preserve">ts relationship to loss of apoptosis in breast carcinomas. Clin Cancer Res 2000; 6: 127-134.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Borner C. The Bcl-2 protein family: sensors and checkpoints for life-or-death decisions. Mol Immunol 2003; 39: 615-647. </w:t>
      </w:r>
    </w:p>
    <w:p w:rsidR="00F77591" w:rsidRDefault="004A07C1">
      <w:pPr>
        <w:numPr>
          <w:ilvl w:val="0"/>
          <w:numId w:val="1"/>
        </w:numPr>
        <w:spacing w:after="42" w:line="310" w:lineRule="auto"/>
        <w:ind w:hanging="358"/>
        <w:jc w:val="both"/>
      </w:pPr>
      <w:r>
        <w:rPr>
          <w:rFonts w:ascii="Bodoni MT" w:eastAsia="Bodoni MT" w:hAnsi="Bodoni MT" w:cs="Bodoni MT"/>
          <w:sz w:val="18"/>
        </w:rPr>
        <w:t>Garcia I, Martinou I, Tsujimoto Y, Martin</w:t>
      </w:r>
      <w:r>
        <w:rPr>
          <w:rFonts w:ascii="Bodoni MT" w:eastAsia="Bodoni MT" w:hAnsi="Bodoni MT" w:cs="Bodoni MT"/>
          <w:sz w:val="18"/>
        </w:rPr>
        <w:t xml:space="preserve">ou JC. Prevention of programmed cell death of sympathetic neurons by the bcl-2 proto-oncogene. Science 1992; 258: 302-304. </w:t>
      </w:r>
    </w:p>
    <w:p w:rsidR="00F77591" w:rsidRDefault="004A07C1">
      <w:pPr>
        <w:numPr>
          <w:ilvl w:val="0"/>
          <w:numId w:val="1"/>
        </w:numPr>
        <w:spacing w:after="42" w:line="310" w:lineRule="auto"/>
        <w:ind w:hanging="358"/>
        <w:jc w:val="both"/>
      </w:pPr>
      <w:r>
        <w:rPr>
          <w:rFonts w:ascii="Bodoni MT" w:eastAsia="Bodoni MT" w:hAnsi="Bodoni MT" w:cs="Bodoni MT"/>
          <w:sz w:val="18"/>
        </w:rPr>
        <w:lastRenderedPageBreak/>
        <w:t xml:space="preserve">Reed JC. Double identity for proteins of the Bcl-2 family. Nature 1997; 387: 773-776. </w:t>
      </w:r>
    </w:p>
    <w:p w:rsidR="00F77591" w:rsidRDefault="004A07C1">
      <w:pPr>
        <w:numPr>
          <w:ilvl w:val="0"/>
          <w:numId w:val="1"/>
        </w:numPr>
        <w:spacing w:after="42" w:line="310" w:lineRule="auto"/>
        <w:ind w:hanging="358"/>
        <w:jc w:val="both"/>
      </w:pPr>
      <w:r>
        <w:rPr>
          <w:rFonts w:ascii="Bodoni MT" w:eastAsia="Bodoni MT" w:hAnsi="Bodoni MT" w:cs="Bodoni MT"/>
          <w:sz w:val="18"/>
        </w:rPr>
        <w:t>Razandi M, Pedram A, Levin ER. Plasma membran</w:t>
      </w:r>
      <w:r>
        <w:rPr>
          <w:rFonts w:ascii="Bodoni MT" w:eastAsia="Bodoni MT" w:hAnsi="Bodoni MT" w:cs="Bodoni MT"/>
          <w:sz w:val="18"/>
        </w:rPr>
        <w:t xml:space="preserve">e estrogen receptors signal to antiapoptosis in breast cancer. Mol Endocrinol 2000; 14: 1434-1447. </w:t>
      </w:r>
    </w:p>
    <w:p w:rsidR="00F77591" w:rsidRDefault="004A07C1">
      <w:pPr>
        <w:numPr>
          <w:ilvl w:val="0"/>
          <w:numId w:val="1"/>
        </w:numPr>
        <w:spacing w:after="42" w:line="310" w:lineRule="auto"/>
        <w:ind w:hanging="358"/>
        <w:jc w:val="both"/>
      </w:pPr>
      <w:r>
        <w:rPr>
          <w:rFonts w:ascii="Bodoni MT" w:eastAsia="Bodoni MT" w:hAnsi="Bodoni MT" w:cs="Bodoni MT"/>
          <w:sz w:val="18"/>
        </w:rPr>
        <w:t>Ayhan A, Yasui W, Yokozaki H, Seto M, Ueda R, Tahara E. Loss of heterozygosity at the bcl-2 gene locus and expression of bcl-2 in human gastric and colorect</w:t>
      </w:r>
      <w:r>
        <w:rPr>
          <w:rFonts w:ascii="Bodoni MT" w:eastAsia="Bodoni MT" w:hAnsi="Bodoni MT" w:cs="Bodoni MT"/>
          <w:sz w:val="18"/>
        </w:rPr>
        <w:t xml:space="preserve">al carcinomas. Jpn J Cancer Res 1994; 85: 584-591.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Castle VP, Heidelberger KP, Bromberg J, Ou X, Dole M, Nuñez G. Expression of the apoptosis-suppressing protein bcl-2, in neuroblastoma is associated with unfavorable histology and N-myc amplification. Am </w:t>
      </w:r>
      <w:r>
        <w:rPr>
          <w:rFonts w:ascii="Bodoni MT" w:eastAsia="Bodoni MT" w:hAnsi="Bodoni MT" w:cs="Bodoni MT"/>
          <w:sz w:val="18"/>
        </w:rPr>
        <w:t xml:space="preserve">J Pathol 1993; 143: 1543-1550.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Coustan-Smith E, Kitanaka A, Pui CH et al. Clinical relevance of BCL-2 overexpression in childhood acute lymphoblastic leukemia. Blood 1996; 87: 1140-1146.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Gobé G, Rubin M, Williams G, Sawczuk I, Buttyan R. Apoptosis and expression of Bcl-2, Bcl-XL, and Bax in renal cell carcinomas. Cancer Invest 2002; 20: 324-332. </w:t>
      </w:r>
    </w:p>
    <w:p w:rsidR="00F77591" w:rsidRDefault="004A07C1">
      <w:pPr>
        <w:numPr>
          <w:ilvl w:val="0"/>
          <w:numId w:val="1"/>
        </w:numPr>
        <w:spacing w:after="42" w:line="310" w:lineRule="auto"/>
        <w:ind w:hanging="358"/>
        <w:jc w:val="both"/>
      </w:pPr>
      <w:r>
        <w:rPr>
          <w:rFonts w:ascii="Bodoni MT" w:eastAsia="Bodoni MT" w:hAnsi="Bodoni MT" w:cs="Bodoni MT"/>
          <w:sz w:val="18"/>
        </w:rPr>
        <w:t>Kondo E, Yoshino T, Yamadori I, et al. Expression of Bcl-2 protein and Fas antigen in non-Hodg</w:t>
      </w:r>
      <w:r>
        <w:rPr>
          <w:rFonts w:ascii="Bodoni MT" w:eastAsia="Bodoni MT" w:hAnsi="Bodoni MT" w:cs="Bodoni MT"/>
          <w:sz w:val="18"/>
        </w:rPr>
        <w:t xml:space="preserve">kin's lymphomas. Am J Pathol 1994; 145: 330-337.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Krajewska M, Krajewski S, Epstein JI, et al. Immunohistochemical analysis of bcl-2, bax, bcl-X, and mcl-1 expression in prostate cancers. Am J Pathol 1996; 148: 1567-1576. </w:t>
      </w:r>
    </w:p>
    <w:p w:rsidR="00F77591" w:rsidRDefault="004A07C1">
      <w:pPr>
        <w:numPr>
          <w:ilvl w:val="0"/>
          <w:numId w:val="1"/>
        </w:numPr>
        <w:spacing w:after="42" w:line="310" w:lineRule="auto"/>
        <w:ind w:hanging="358"/>
        <w:jc w:val="both"/>
      </w:pPr>
      <w:r>
        <w:rPr>
          <w:rFonts w:ascii="Bodoni MT" w:eastAsia="Bodoni MT" w:hAnsi="Bodoni MT" w:cs="Bodoni MT"/>
          <w:sz w:val="18"/>
        </w:rPr>
        <w:t>Malkinson AM. Molecular compariso</w:t>
      </w:r>
      <w:r>
        <w:rPr>
          <w:rFonts w:ascii="Bodoni MT" w:eastAsia="Bodoni MT" w:hAnsi="Bodoni MT" w:cs="Bodoni MT"/>
          <w:sz w:val="18"/>
        </w:rPr>
        <w:t xml:space="preserve">n of human and mouse pulmonary adenocarcinomas. Exp Lung Res 1998; 24: 541-555. </w:t>
      </w:r>
    </w:p>
    <w:p w:rsidR="00F77591" w:rsidRDefault="004A07C1">
      <w:pPr>
        <w:spacing w:after="728"/>
        <w:ind w:right="407"/>
        <w:jc w:val="center"/>
      </w:pPr>
      <w:r>
        <w:rPr>
          <w:rFonts w:ascii="Arial" w:eastAsia="Arial" w:hAnsi="Arial" w:cs="Arial"/>
          <w:sz w:val="15"/>
        </w:rPr>
        <w:t xml:space="preserve">İnsan servikal kanser HeLa hücrelerinde Vinorelbin’in apoptotik etkisi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Zaja F, Di Loreto C, Amoroso V, et al. BCL-2 immunohistochemical evaluation in B-cell chronic lymphocytic leukemia and hairy cell leukemia before treatment with fludarabine and 2-chloro-deoxy-adenosine. Leuk Lymphoma 1998; 28: 567-572. </w:t>
      </w:r>
    </w:p>
    <w:p w:rsidR="00F77591" w:rsidRDefault="004A07C1">
      <w:pPr>
        <w:numPr>
          <w:ilvl w:val="0"/>
          <w:numId w:val="1"/>
        </w:numPr>
        <w:spacing w:after="42" w:line="310" w:lineRule="auto"/>
        <w:ind w:hanging="358"/>
        <w:jc w:val="both"/>
      </w:pPr>
      <w:r>
        <w:rPr>
          <w:rFonts w:ascii="Bodoni MT" w:eastAsia="Bodoni MT" w:hAnsi="Bodoni MT" w:cs="Bodoni MT"/>
          <w:sz w:val="18"/>
        </w:rPr>
        <w:t>Liao C, Li SQ, Wang</w:t>
      </w:r>
      <w:r>
        <w:rPr>
          <w:rFonts w:ascii="Bodoni MT" w:eastAsia="Bodoni MT" w:hAnsi="Bodoni MT" w:cs="Bodoni MT"/>
          <w:sz w:val="18"/>
        </w:rPr>
        <w:t xml:space="preserve"> X, Muhlrad S, Bjartell A, Wolgemuth DJ. Elevated levels and distinct patterns of expression of A-type cyclins and their associated cyclindependent kinases in male germ cell tumors. Int J Cancer 2004; 108: 654-664. </w:t>
      </w:r>
    </w:p>
    <w:p w:rsidR="00F77591" w:rsidRDefault="004A07C1">
      <w:pPr>
        <w:numPr>
          <w:ilvl w:val="0"/>
          <w:numId w:val="1"/>
        </w:numPr>
        <w:spacing w:after="42" w:line="310" w:lineRule="auto"/>
        <w:ind w:hanging="358"/>
        <w:jc w:val="both"/>
      </w:pPr>
      <w:r>
        <w:rPr>
          <w:rFonts w:ascii="Bodoni MT" w:eastAsia="Bodoni MT" w:hAnsi="Bodoni MT" w:cs="Bodoni MT"/>
          <w:sz w:val="18"/>
        </w:rPr>
        <w:t>Jiang W, Kahn SM, Zhou P, et al. Overexp</w:t>
      </w:r>
      <w:r>
        <w:rPr>
          <w:rFonts w:ascii="Bodoni MT" w:eastAsia="Bodoni MT" w:hAnsi="Bodoni MT" w:cs="Bodoni MT"/>
          <w:sz w:val="18"/>
        </w:rPr>
        <w:t xml:space="preserve">ression of cyclin D1 in rat fibroblasts causes abnormalities in growth control, cell cycle progression and gene expression. Oncogene 1993; 8: 3447-3457. </w:t>
      </w:r>
    </w:p>
    <w:p w:rsidR="00F77591" w:rsidRDefault="004A07C1">
      <w:pPr>
        <w:numPr>
          <w:ilvl w:val="0"/>
          <w:numId w:val="1"/>
        </w:numPr>
        <w:spacing w:after="42" w:line="310" w:lineRule="auto"/>
        <w:ind w:hanging="358"/>
        <w:jc w:val="both"/>
      </w:pPr>
      <w:r>
        <w:rPr>
          <w:rFonts w:ascii="Bodoni MT" w:eastAsia="Bodoni MT" w:hAnsi="Bodoni MT" w:cs="Bodoni MT"/>
          <w:sz w:val="18"/>
        </w:rPr>
        <w:t>Hodges LC, Cook JD, Lobenhofer EK, et al. Tamoxifen functions as a molecular agonist inducing cell cyc</w:t>
      </w:r>
      <w:r>
        <w:rPr>
          <w:rFonts w:ascii="Bodoni MT" w:eastAsia="Bodoni MT" w:hAnsi="Bodoni MT" w:cs="Bodoni MT"/>
          <w:sz w:val="18"/>
        </w:rPr>
        <w:t xml:space="preserve">leassociated genes in breast cancer cells. Mol Cancer Res 2003; 1: 300-311. </w:t>
      </w:r>
    </w:p>
    <w:p w:rsidR="00F77591" w:rsidRDefault="004A07C1">
      <w:pPr>
        <w:numPr>
          <w:ilvl w:val="0"/>
          <w:numId w:val="1"/>
        </w:numPr>
        <w:spacing w:after="42" w:line="310" w:lineRule="auto"/>
        <w:ind w:hanging="358"/>
        <w:jc w:val="both"/>
      </w:pPr>
      <w:r>
        <w:rPr>
          <w:rFonts w:ascii="Bodoni MT" w:eastAsia="Bodoni MT" w:hAnsi="Bodoni MT" w:cs="Bodoni MT"/>
          <w:sz w:val="18"/>
        </w:rPr>
        <w:t>Hui R, Finney GL, Carroll JS, Lee CS, Musgrove EA, Sutherland RL. Constitutive overexpression of cyclin D1 but not cyclin E confers acute resistance to antiestrogens in T-47D brea</w:t>
      </w:r>
      <w:r>
        <w:rPr>
          <w:rFonts w:ascii="Bodoni MT" w:eastAsia="Bodoni MT" w:hAnsi="Bodoni MT" w:cs="Bodoni MT"/>
          <w:sz w:val="18"/>
        </w:rPr>
        <w:t xml:space="preserve">st cancer cells. Cancer Res 2002; 62: 69166923.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Kenny FS, Hui R, Musgrove EA, et al. Overexpression of cyclin D1 messenger RNA predicts for poor prognosis in estrogen receptor-positive breast cancer. Clin Cancer Res 1999; 5: 2069-2076. </w:t>
      </w:r>
    </w:p>
    <w:p w:rsidR="00F77591" w:rsidRDefault="004A07C1">
      <w:pPr>
        <w:numPr>
          <w:ilvl w:val="0"/>
          <w:numId w:val="1"/>
        </w:numPr>
        <w:spacing w:after="42" w:line="310" w:lineRule="auto"/>
        <w:ind w:hanging="358"/>
        <w:jc w:val="both"/>
      </w:pPr>
      <w:r>
        <w:rPr>
          <w:rFonts w:ascii="Bodoni MT" w:eastAsia="Bodoni MT" w:hAnsi="Bodoni MT" w:cs="Bodoni MT"/>
          <w:sz w:val="18"/>
        </w:rPr>
        <w:t>Swanson SM, Ijaz A</w:t>
      </w:r>
      <w:r>
        <w:rPr>
          <w:rFonts w:ascii="Bodoni MT" w:eastAsia="Bodoni MT" w:hAnsi="Bodoni MT" w:cs="Bodoni MT"/>
          <w:sz w:val="18"/>
        </w:rPr>
        <w:t xml:space="preserve">, Fahning ML. The use of acridine orange and ethidium bromide to determine the viability of pre-implantation mouse embryos cultured in vitro. Br Vet J 1987; 143: 306-311. </w:t>
      </w:r>
    </w:p>
    <w:p w:rsidR="00F77591" w:rsidRDefault="004A07C1">
      <w:pPr>
        <w:numPr>
          <w:ilvl w:val="0"/>
          <w:numId w:val="1"/>
        </w:numPr>
        <w:spacing w:after="42" w:line="310" w:lineRule="auto"/>
        <w:ind w:hanging="358"/>
        <w:jc w:val="both"/>
      </w:pPr>
      <w:r>
        <w:rPr>
          <w:rFonts w:ascii="Bodoni MT" w:eastAsia="Bodoni MT" w:hAnsi="Bodoni MT" w:cs="Bodoni MT"/>
          <w:sz w:val="18"/>
        </w:rPr>
        <w:t>Pfaffl MW, Horgan GW, Dempfle L. Relative expression software tool (REST) for group-</w:t>
      </w:r>
      <w:r>
        <w:rPr>
          <w:rFonts w:ascii="Bodoni MT" w:eastAsia="Bodoni MT" w:hAnsi="Bodoni MT" w:cs="Bodoni MT"/>
          <w:sz w:val="18"/>
        </w:rPr>
        <w:t xml:space="preserve">wise comparison and statistical analysis of relative expression results in realtime PCR. Nucleic Acids Res 2002; 30: e36. </w:t>
      </w:r>
    </w:p>
    <w:p w:rsidR="00F77591" w:rsidRDefault="004A07C1">
      <w:pPr>
        <w:numPr>
          <w:ilvl w:val="0"/>
          <w:numId w:val="1"/>
        </w:numPr>
        <w:spacing w:after="42" w:line="310" w:lineRule="auto"/>
        <w:ind w:hanging="358"/>
        <w:jc w:val="both"/>
      </w:pPr>
      <w:r>
        <w:rPr>
          <w:rFonts w:ascii="Bodoni MT" w:eastAsia="Bodoni MT" w:hAnsi="Bodoni MT" w:cs="Bodoni MT"/>
          <w:sz w:val="18"/>
        </w:rPr>
        <w:t>Istomin YP, Zhavrid EA, Alexandrova EN, Sergeyeva OP, Petrovich SV. Dose enhancement effect of anticaner drugs associated with increa</w:t>
      </w:r>
      <w:r>
        <w:rPr>
          <w:rFonts w:ascii="Bodoni MT" w:eastAsia="Bodoni MT" w:hAnsi="Bodoni MT" w:cs="Bodoni MT"/>
          <w:sz w:val="18"/>
        </w:rPr>
        <w:t xml:space="preserve">sed temperature in vitro. Exp Oncol 2008; 30: 56-59.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Aggarwal A, Kruczynski A, Frankfurter A, Correia JJ, Lobert S. Murine leukemia P388 vinorelbine-resistant cell lines are sensitive to vinflunine. Invest New Drugs 2008; 26: 319-330.  </w:t>
      </w:r>
    </w:p>
    <w:p w:rsidR="00F77591" w:rsidRDefault="004A07C1">
      <w:pPr>
        <w:numPr>
          <w:ilvl w:val="0"/>
          <w:numId w:val="1"/>
        </w:numPr>
        <w:spacing w:after="42" w:line="310" w:lineRule="auto"/>
        <w:ind w:hanging="358"/>
        <w:jc w:val="both"/>
      </w:pPr>
      <w:r>
        <w:rPr>
          <w:rFonts w:ascii="Bodoni MT" w:eastAsia="Bodoni MT" w:hAnsi="Bodoni MT" w:cs="Bodoni MT"/>
          <w:sz w:val="18"/>
        </w:rPr>
        <w:t>Hayakawa A, Kawamo</w:t>
      </w:r>
      <w:r>
        <w:rPr>
          <w:rFonts w:ascii="Bodoni MT" w:eastAsia="Bodoni MT" w:hAnsi="Bodoni MT" w:cs="Bodoni MT"/>
          <w:sz w:val="18"/>
        </w:rPr>
        <w:t xml:space="preserve">to Y, Nakajima H, et al. Bid truncation mediated by caspases-3 and -9 in vinorelbineinduced apoptosis. Apoptosis 2008; 13: 523-530. </w:t>
      </w:r>
    </w:p>
    <w:p w:rsidR="00F77591" w:rsidRDefault="004A07C1">
      <w:pPr>
        <w:numPr>
          <w:ilvl w:val="0"/>
          <w:numId w:val="1"/>
        </w:numPr>
        <w:spacing w:after="0" w:line="310" w:lineRule="auto"/>
        <w:ind w:hanging="358"/>
        <w:jc w:val="both"/>
      </w:pPr>
      <w:r>
        <w:rPr>
          <w:rFonts w:ascii="Bodoni MT" w:eastAsia="Bodoni MT" w:hAnsi="Bodoni MT" w:cs="Bodoni MT"/>
          <w:sz w:val="18"/>
        </w:rPr>
        <w:t>George J, Banik NL, Ray SK. Bcl-2 siRNA augments taxol mediated apoptotic death in human glioblastoma U138MG and U251MG cel</w:t>
      </w:r>
      <w:r>
        <w:rPr>
          <w:rFonts w:ascii="Bodoni MT" w:eastAsia="Bodoni MT" w:hAnsi="Bodoni MT" w:cs="Bodoni MT"/>
          <w:sz w:val="18"/>
        </w:rPr>
        <w:t xml:space="preserve">ls. Neurochem Res 2009; 34: </w:t>
      </w:r>
    </w:p>
    <w:p w:rsidR="00F77591" w:rsidRDefault="004A07C1">
      <w:pPr>
        <w:spacing w:after="42" w:line="310" w:lineRule="auto"/>
        <w:ind w:left="358"/>
        <w:jc w:val="both"/>
      </w:pPr>
      <w:r>
        <w:rPr>
          <w:rFonts w:ascii="Bodoni MT" w:eastAsia="Bodoni MT" w:hAnsi="Bodoni MT" w:cs="Bodoni MT"/>
          <w:sz w:val="18"/>
        </w:rPr>
        <w:t xml:space="preserve">66-78.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Zhu BK, Wang P, Zhang XD, et al. Activation of Jun Nterminal kinase is a mediator of vincristine-induced apoptosis of melanoma cells. Anticancer Drugs 2008; 19: 189-200. </w:t>
      </w:r>
    </w:p>
    <w:p w:rsidR="00F77591" w:rsidRDefault="004A07C1">
      <w:pPr>
        <w:numPr>
          <w:ilvl w:val="0"/>
          <w:numId w:val="1"/>
        </w:numPr>
        <w:spacing w:after="42" w:line="310" w:lineRule="auto"/>
        <w:ind w:hanging="358"/>
        <w:jc w:val="both"/>
      </w:pPr>
      <w:r>
        <w:rPr>
          <w:rFonts w:ascii="Bodoni MT" w:eastAsia="Bodoni MT" w:hAnsi="Bodoni MT" w:cs="Bodoni MT"/>
          <w:sz w:val="18"/>
        </w:rPr>
        <w:lastRenderedPageBreak/>
        <w:t>Hockenbery D, Nuñez G, Milliman C, Schreiber RD</w:t>
      </w:r>
      <w:r>
        <w:rPr>
          <w:rFonts w:ascii="Bodoni MT" w:eastAsia="Bodoni MT" w:hAnsi="Bodoni MT" w:cs="Bodoni MT"/>
          <w:sz w:val="18"/>
        </w:rPr>
        <w:t xml:space="preserve">, Korsmeyer SJ. Bcl-2 is an inner mitochondrial membrane protein that blocks programmed cell death. Nature 1990; 348: 334-336.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Vaux DL, Cory S, Adams JM. Bcl-2 gene promotes haemopoietic cell survival and cooperates with c-myc to immortalize pre-B cells. </w:t>
      </w:r>
      <w:r>
        <w:rPr>
          <w:rFonts w:ascii="Bodoni MT" w:eastAsia="Bodoni MT" w:hAnsi="Bodoni MT" w:cs="Bodoni MT"/>
          <w:sz w:val="18"/>
        </w:rPr>
        <w:t xml:space="preserve">Nature 1988; 335: 440-442.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Newmeyer DD, Farschon DM, Reed JC. Cell-free apoptosis in Xenopus egg extracts: inhibition by Bcl-2 and requirement for an organelle fraction enriched in mitochondria. Cell 1994; 79: 353-364. </w:t>
      </w:r>
    </w:p>
    <w:p w:rsidR="00F77591" w:rsidRDefault="004A07C1">
      <w:pPr>
        <w:numPr>
          <w:ilvl w:val="0"/>
          <w:numId w:val="1"/>
        </w:numPr>
        <w:spacing w:after="1" w:line="310" w:lineRule="auto"/>
        <w:ind w:hanging="358"/>
        <w:jc w:val="both"/>
      </w:pPr>
      <w:r>
        <w:rPr>
          <w:rFonts w:ascii="Bodoni MT" w:eastAsia="Bodoni MT" w:hAnsi="Bodoni MT" w:cs="Bodoni MT"/>
          <w:sz w:val="18"/>
        </w:rPr>
        <w:t>Jacobson MD, Burne JF, Raff MC. Pro</w:t>
      </w:r>
      <w:r>
        <w:rPr>
          <w:rFonts w:ascii="Bodoni MT" w:eastAsia="Bodoni MT" w:hAnsi="Bodoni MT" w:cs="Bodoni MT"/>
          <w:sz w:val="18"/>
        </w:rPr>
        <w:t xml:space="preserve">grammed cell death and Bcl-2 protection in  the absence of a nucleus. </w:t>
      </w:r>
    </w:p>
    <w:p w:rsidR="00F77591" w:rsidRDefault="004A07C1">
      <w:pPr>
        <w:spacing w:after="42" w:line="310" w:lineRule="auto"/>
        <w:ind w:left="358"/>
        <w:jc w:val="both"/>
      </w:pPr>
      <w:r>
        <w:rPr>
          <w:rFonts w:ascii="Bodoni MT" w:eastAsia="Bodoni MT" w:hAnsi="Bodoni MT" w:cs="Bodoni MT"/>
          <w:sz w:val="18"/>
        </w:rPr>
        <w:t xml:space="preserve">EMBO J 1994; 13: 1899-1910. </w:t>
      </w:r>
    </w:p>
    <w:p w:rsidR="00F77591" w:rsidRDefault="004A07C1">
      <w:pPr>
        <w:numPr>
          <w:ilvl w:val="0"/>
          <w:numId w:val="1"/>
        </w:numPr>
        <w:spacing w:after="42" w:line="310" w:lineRule="auto"/>
        <w:ind w:hanging="358"/>
        <w:jc w:val="both"/>
      </w:pPr>
      <w:r>
        <w:rPr>
          <w:rFonts w:ascii="Bodoni MT" w:eastAsia="Bodoni MT" w:hAnsi="Bodoni MT" w:cs="Bodoni MT"/>
          <w:sz w:val="18"/>
        </w:rPr>
        <w:t>Yu B, Sun X, Shen HY, Gao F, Fan YM, Sun ZJ. Expression of the apoptosis-related genes BCL-2 and BAD in human breast carcinoma and their associated relation</w:t>
      </w:r>
      <w:r>
        <w:rPr>
          <w:rFonts w:ascii="Bodoni MT" w:eastAsia="Bodoni MT" w:hAnsi="Bodoni MT" w:cs="Bodoni MT"/>
          <w:sz w:val="18"/>
        </w:rPr>
        <w:t xml:space="preserve">ship with chemosensitivity. J Exp Clin Cancer Res 2010; 29: 107.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Bressin C, Bourgarel-Rey V, Carré M, et al. Decrease in c-Myc activity enhances cancer cell sensitivity to vinblastine. Anticancer Drugs 2006; 17: 181-187. </w:t>
      </w:r>
    </w:p>
    <w:p w:rsidR="00F77591" w:rsidRDefault="004A07C1">
      <w:pPr>
        <w:numPr>
          <w:ilvl w:val="0"/>
          <w:numId w:val="1"/>
        </w:numPr>
        <w:spacing w:after="42" w:line="310" w:lineRule="auto"/>
        <w:ind w:hanging="358"/>
        <w:jc w:val="both"/>
      </w:pPr>
      <w:r>
        <w:rPr>
          <w:rFonts w:ascii="Bodoni MT" w:eastAsia="Bodoni MT" w:hAnsi="Bodoni MT" w:cs="Bodoni MT"/>
          <w:sz w:val="18"/>
        </w:rPr>
        <w:t>Pourroy B, Carré M, Honoré S et a</w:t>
      </w:r>
      <w:r>
        <w:rPr>
          <w:rFonts w:ascii="Bodoni MT" w:eastAsia="Bodoni MT" w:hAnsi="Bodoni MT" w:cs="Bodoni MT"/>
          <w:sz w:val="18"/>
        </w:rPr>
        <w:t xml:space="preserve">l. Low concentrations of vinflunine induce apoptosis in human SK-N-SH neuroblastoma cells through a postmitotic G1 arrest and a mitochondrial pathway. Mol Pharmacol 2004; 66: 580591. </w:t>
      </w:r>
    </w:p>
    <w:p w:rsidR="00F77591" w:rsidRDefault="004A07C1">
      <w:pPr>
        <w:numPr>
          <w:ilvl w:val="0"/>
          <w:numId w:val="1"/>
        </w:numPr>
        <w:spacing w:after="42" w:line="310" w:lineRule="auto"/>
        <w:ind w:hanging="358"/>
        <w:jc w:val="both"/>
      </w:pPr>
      <w:r>
        <w:rPr>
          <w:rFonts w:ascii="Bodoni MT" w:eastAsia="Bodoni MT" w:hAnsi="Bodoni MT" w:cs="Bodoni MT"/>
          <w:sz w:val="18"/>
        </w:rPr>
        <w:t xml:space="preserve">Pasquier E, Carré M, Pourroy B, et al. Antiangiogenic activity of paclitaxel is associated with its cytostatic effect mediated by the initiation but not completion of a mitochondrial apoptotic signaling pathway. Mol Cancer Ther 2004; 3: 1301-1310. </w:t>
      </w:r>
    </w:p>
    <w:p w:rsidR="00F77591" w:rsidRDefault="004A07C1">
      <w:pPr>
        <w:numPr>
          <w:ilvl w:val="0"/>
          <w:numId w:val="1"/>
        </w:numPr>
        <w:spacing w:after="42" w:line="310" w:lineRule="auto"/>
        <w:ind w:hanging="358"/>
        <w:jc w:val="both"/>
      </w:pPr>
      <w:r>
        <w:rPr>
          <w:rFonts w:ascii="Bodoni MT" w:eastAsia="Bodoni MT" w:hAnsi="Bodoni MT" w:cs="Bodoni MT"/>
          <w:sz w:val="18"/>
        </w:rPr>
        <w:t>Bourgar</w:t>
      </w:r>
      <w:r>
        <w:rPr>
          <w:rFonts w:ascii="Bodoni MT" w:eastAsia="Bodoni MT" w:hAnsi="Bodoni MT" w:cs="Bodoni MT"/>
          <w:sz w:val="18"/>
        </w:rPr>
        <w:t xml:space="preserve">el-Rey V, Savry A, Hua G, et al. Transcriptional down-regulation of Bcl-2 by vinorelbine: identification of a novel binding site of p53 on Bcl-2 promoter. Biochem Pharmacol 2009; 78: 1148-1156. </w:t>
      </w:r>
    </w:p>
    <w:p w:rsidR="00F77591" w:rsidRDefault="004A07C1">
      <w:pPr>
        <w:numPr>
          <w:ilvl w:val="0"/>
          <w:numId w:val="1"/>
        </w:numPr>
        <w:spacing w:after="42" w:line="310" w:lineRule="auto"/>
        <w:ind w:hanging="358"/>
        <w:jc w:val="both"/>
      </w:pPr>
      <w:r>
        <w:rPr>
          <w:rFonts w:ascii="Bodoni MT" w:eastAsia="Bodoni MT" w:hAnsi="Bodoni MT" w:cs="Bodoni MT"/>
          <w:sz w:val="18"/>
        </w:rPr>
        <w:t>Roncuzzi L, Marti G, Baiocchi D, Del Coco R, Cocchi S, Gasper</w:t>
      </w:r>
      <w:r>
        <w:rPr>
          <w:rFonts w:ascii="Bodoni MT" w:eastAsia="Bodoni MT" w:hAnsi="Bodoni MT" w:cs="Bodoni MT"/>
          <w:sz w:val="18"/>
        </w:rPr>
        <w:t xml:space="preserve">i-Campani A. Effect of Vinorelbine on cell growth and apoptosis induction in human osteosarcoma in vitro. Oncol Rep 2006; 15: 73-77. </w:t>
      </w:r>
    </w:p>
    <w:p w:rsidR="00F77591" w:rsidRDefault="004A07C1">
      <w:pPr>
        <w:numPr>
          <w:ilvl w:val="0"/>
          <w:numId w:val="1"/>
        </w:numPr>
        <w:spacing w:after="42" w:line="310" w:lineRule="auto"/>
        <w:ind w:hanging="358"/>
        <w:jc w:val="both"/>
      </w:pPr>
      <w:r>
        <w:rPr>
          <w:rFonts w:ascii="Bodoni MT" w:eastAsia="Bodoni MT" w:hAnsi="Bodoni MT" w:cs="Bodoni MT"/>
          <w:sz w:val="18"/>
        </w:rPr>
        <w:t>Celikler S, Bilalo</w:t>
      </w:r>
      <w:r>
        <w:rPr>
          <w:rFonts w:ascii="Times New Roman" w:eastAsia="Times New Roman" w:hAnsi="Times New Roman" w:cs="Times New Roman"/>
          <w:sz w:val="18"/>
        </w:rPr>
        <w:t>ğ</w:t>
      </w:r>
      <w:r>
        <w:rPr>
          <w:rFonts w:ascii="Bodoni MT" w:eastAsia="Bodoni MT" w:hAnsi="Bodoni MT" w:cs="Bodoni MT"/>
          <w:sz w:val="18"/>
        </w:rPr>
        <w:t>lu R, Aydemir N. Genotoxic effects induced by fotemustine and vinorelbine in human lymphocytes. Z Natur</w:t>
      </w:r>
      <w:r>
        <w:rPr>
          <w:rFonts w:ascii="Bodoni MT" w:eastAsia="Bodoni MT" w:hAnsi="Bodoni MT" w:cs="Bodoni MT"/>
          <w:sz w:val="18"/>
        </w:rPr>
        <w:t xml:space="preserve">forsch C 2006; 61: 903-910. </w:t>
      </w:r>
    </w:p>
    <w:sectPr w:rsidR="00F77591">
      <w:type w:val="continuous"/>
      <w:pgSz w:w="11904" w:h="16840"/>
      <w:pgMar w:top="1518" w:right="1130" w:bottom="2291" w:left="1134" w:header="708" w:footer="708" w:gutter="0"/>
      <w:cols w:num="2" w: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C1" w:rsidRDefault="004A07C1">
      <w:pPr>
        <w:spacing w:after="0" w:line="240" w:lineRule="auto"/>
      </w:pPr>
      <w:r>
        <w:separator/>
      </w:r>
    </w:p>
  </w:endnote>
  <w:endnote w:type="continuationSeparator" w:id="0">
    <w:p w:rsidR="004A07C1" w:rsidRDefault="004A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C1" w:rsidRDefault="004A07C1">
      <w:pPr>
        <w:spacing w:after="0" w:line="240" w:lineRule="auto"/>
      </w:pPr>
      <w:r>
        <w:separator/>
      </w:r>
    </w:p>
  </w:footnote>
  <w:footnote w:type="continuationSeparator" w:id="0">
    <w:p w:rsidR="004A07C1" w:rsidRDefault="004A0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91" w:rsidRDefault="004A07C1">
    <w:pPr>
      <w:tabs>
        <w:tab w:val="center" w:pos="2413"/>
      </w:tabs>
      <w:spacing w:after="0"/>
    </w:pPr>
    <w:r>
      <w:fldChar w:fldCharType="begin"/>
    </w:r>
    <w:r>
      <w:instrText xml:space="preserve"> PAGE   \* MERGEFORMAT </w:instrText>
    </w:r>
    <w:r>
      <w:fldChar w:fldCharType="separate"/>
    </w:r>
    <w:r w:rsidR="00A14B6D" w:rsidRPr="00A14B6D">
      <w:rPr>
        <w:rFonts w:ascii="Times New Roman" w:eastAsia="Times New Roman" w:hAnsi="Times New Roman" w:cs="Times New Roman"/>
        <w:b/>
        <w:noProof/>
        <w:sz w:val="20"/>
      </w:rPr>
      <w:t>14</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Arial" w:eastAsia="Arial" w:hAnsi="Arial" w:cs="Arial"/>
        <w:sz w:val="15"/>
      </w:rPr>
      <w:t xml:space="preserve">İnsan servikal kanser HeLa hücrelerinde Vinorelbin’in apoptotik etkisi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91" w:rsidRDefault="004A07C1">
    <w:pPr>
      <w:spacing w:after="0"/>
      <w:ind w:right="-96"/>
      <w:jc w:val="right"/>
    </w:pPr>
    <w:r>
      <w:fldChar w:fldCharType="begin"/>
    </w:r>
    <w:r>
      <w:instrText xml:space="preserve"> PAGE   \* MERGEFORMAT </w:instrText>
    </w:r>
    <w:r>
      <w:fldChar w:fldCharType="separate"/>
    </w:r>
    <w:r w:rsidR="00A14B6D" w:rsidRPr="00A14B6D">
      <w:rPr>
        <w:b/>
        <w:noProof/>
      </w:rPr>
      <w:t>13</w:t>
    </w:r>
    <w:r>
      <w:rPr>
        <w:b/>
      </w:rPr>
      <w:fldChar w:fldCharType="end"/>
    </w:r>
    <w:r>
      <w:rPr>
        <w:rFonts w:ascii="Arial" w:eastAsia="Arial" w:hAnsi="Arial" w:cs="Arial"/>
        <w:sz w:val="15"/>
      </w:rPr>
      <w:t xml:space="preserve"> </w:t>
    </w:r>
  </w:p>
  <w:p w:rsidR="00F77591" w:rsidRDefault="004A07C1">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91" w:rsidRDefault="004A07C1">
    <w:pPr>
      <w:spacing w:after="0"/>
      <w:ind w:right="-94"/>
      <w:jc w:val="right"/>
    </w:pPr>
    <w:r>
      <w:fldChar w:fldCharType="begin"/>
    </w:r>
    <w:r>
      <w:instrText xml:space="preserve"> PAGE   \* MERGEFORMAT </w:instrText>
    </w:r>
    <w:r>
      <w:fldChar w:fldCharType="separate"/>
    </w:r>
    <w:r w:rsidR="00A14B6D" w:rsidRPr="00A14B6D">
      <w:rPr>
        <w:noProof/>
        <w:color w:val="FFFFFF"/>
      </w:rPr>
      <w:t>5</w:t>
    </w:r>
    <w:r>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56ED0"/>
    <w:multiLevelType w:val="hybridMultilevel"/>
    <w:tmpl w:val="D144ADEC"/>
    <w:lvl w:ilvl="0" w:tplc="D3FC0ED8">
      <w:start w:val="1"/>
      <w:numFmt w:val="decimal"/>
      <w:lvlText w:val="%1."/>
      <w:lvlJc w:val="left"/>
      <w:pPr>
        <w:ind w:left="358"/>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1" w:tplc="F2E49D2A">
      <w:start w:val="1"/>
      <w:numFmt w:val="lowerLetter"/>
      <w:lvlText w:val="%2"/>
      <w:lvlJc w:val="left"/>
      <w:pPr>
        <w:ind w:left="108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2" w:tplc="DEB08044">
      <w:start w:val="1"/>
      <w:numFmt w:val="lowerRoman"/>
      <w:lvlText w:val="%3"/>
      <w:lvlJc w:val="left"/>
      <w:pPr>
        <w:ind w:left="180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3" w:tplc="41AE1294">
      <w:start w:val="1"/>
      <w:numFmt w:val="decimal"/>
      <w:lvlText w:val="%4"/>
      <w:lvlJc w:val="left"/>
      <w:pPr>
        <w:ind w:left="25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4" w:tplc="2E468082">
      <w:start w:val="1"/>
      <w:numFmt w:val="lowerLetter"/>
      <w:lvlText w:val="%5"/>
      <w:lvlJc w:val="left"/>
      <w:pPr>
        <w:ind w:left="324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5" w:tplc="6A2447F4">
      <w:start w:val="1"/>
      <w:numFmt w:val="lowerRoman"/>
      <w:lvlText w:val="%6"/>
      <w:lvlJc w:val="left"/>
      <w:pPr>
        <w:ind w:left="396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6" w:tplc="C868F50C">
      <w:start w:val="1"/>
      <w:numFmt w:val="decimal"/>
      <w:lvlText w:val="%7"/>
      <w:lvlJc w:val="left"/>
      <w:pPr>
        <w:ind w:left="468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7" w:tplc="5D10924C">
      <w:start w:val="1"/>
      <w:numFmt w:val="lowerLetter"/>
      <w:lvlText w:val="%8"/>
      <w:lvlJc w:val="left"/>
      <w:pPr>
        <w:ind w:left="540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8" w:tplc="FC120022">
      <w:start w:val="1"/>
      <w:numFmt w:val="lowerRoman"/>
      <w:lvlText w:val="%9"/>
      <w:lvlJc w:val="left"/>
      <w:pPr>
        <w:ind w:left="61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91"/>
    <w:rsid w:val="004A07C1"/>
    <w:rsid w:val="00A14B6D"/>
    <w:rsid w:val="00F77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348B0-3675-4EEB-B9F5-ED9E4D78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138"/>
      <w:ind w:left="10" w:hanging="10"/>
      <w:outlineLvl w:val="0"/>
    </w:pPr>
    <w:rPr>
      <w:rFonts w:ascii="Palatino Linotype" w:eastAsia="Palatino Linotype" w:hAnsi="Palatino Linotype" w:cs="Palatino Linotype"/>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Palatino Linotype" w:eastAsia="Palatino Linotype" w:hAnsi="Palatino Linotype" w:cs="Palatino Linotype"/>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4235</Words>
  <Characters>24142</Characters>
  <Application>Microsoft Office Word</Application>
  <DocSecurity>0</DocSecurity>
  <Lines>201</Lines>
  <Paragraphs>56</Paragraphs>
  <ScaleCrop>false</ScaleCrop>
  <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- 01.Manuscript-revised2.yazarsız.28.02.11.doc</dc:title>
  <dc:subject/>
  <dc:creator>azize.calim</dc:creator>
  <cp:keywords/>
  <cp:lastModifiedBy>Müjde Uzhan</cp:lastModifiedBy>
  <cp:revision>3</cp:revision>
  <dcterms:created xsi:type="dcterms:W3CDTF">2017-06-01T09:25:00Z</dcterms:created>
  <dcterms:modified xsi:type="dcterms:W3CDTF">2017-06-01T09:25:00Z</dcterms:modified>
</cp:coreProperties>
</file>