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7A" w:rsidRDefault="00D86D7A" w:rsidP="00D86D7A">
      <w:pPr>
        <w:pStyle w:val="NormalWeb"/>
      </w:pPr>
      <w:r>
        <w:t xml:space="preserve">Patoloji Anabilim Dalımız 1979 yılında kurulmuştur. Kuruluşundan bu yana rutin hasta hizmeti kapsamında </w:t>
      </w:r>
      <w:proofErr w:type="spellStart"/>
      <w:r>
        <w:t>histopatolojik</w:t>
      </w:r>
      <w:proofErr w:type="spellEnd"/>
      <w:r>
        <w:t xml:space="preserve"> ve </w:t>
      </w:r>
      <w:proofErr w:type="spellStart"/>
      <w:r>
        <w:t>sitopatolojik</w:t>
      </w:r>
      <w:proofErr w:type="spellEnd"/>
      <w:r>
        <w:t xml:space="preserve"> incelemeler yanı sıra, tanıya yardımcı yöntemler olan </w:t>
      </w:r>
      <w:proofErr w:type="spellStart"/>
      <w:r>
        <w:t>histokimya</w:t>
      </w:r>
      <w:proofErr w:type="spellEnd"/>
      <w:r>
        <w:t xml:space="preserve"> ve </w:t>
      </w:r>
      <w:proofErr w:type="spellStart"/>
      <w:r>
        <w:t>immünohistokimya</w:t>
      </w:r>
      <w:proofErr w:type="spellEnd"/>
      <w:r>
        <w:t xml:space="preserve"> uygulamaları yürütülmüş; ilerleyen yıllarda bu tekniklere moleküler yöntemler de eklenmiştir. Bölümümüzde hasta hizmetlerinin yanında lisans ve uzmanlık eğitimi kesintisiz sürdürülmüş, bilimsel araştırma faaliyetleri aktif olarak devam ettirilmiştir.</w:t>
      </w:r>
      <w:r>
        <w:t xml:space="preserve"> </w:t>
      </w:r>
      <w:r>
        <w:t xml:space="preserve">Teknolojik gelişmelere paralel olarak tanısal altyapımız sürekli güçlendirilmiştir. 1987 yılında </w:t>
      </w:r>
      <w:proofErr w:type="spellStart"/>
      <w:r>
        <w:t>immünohistokimyasal</w:t>
      </w:r>
      <w:proofErr w:type="spellEnd"/>
      <w:r>
        <w:t xml:space="preserve"> incelemeler, 1994 yılında </w:t>
      </w:r>
      <w:proofErr w:type="spellStart"/>
      <w:r>
        <w:t>immünfloresan</w:t>
      </w:r>
      <w:proofErr w:type="spellEnd"/>
      <w:r>
        <w:t xml:space="preserve"> çalışmalar başlatılmış; 2015 yılından itibaren </w:t>
      </w:r>
      <w:proofErr w:type="spellStart"/>
      <w:r>
        <w:t>real</w:t>
      </w:r>
      <w:proofErr w:type="spellEnd"/>
      <w:r>
        <w:t xml:space="preserve">-time PCR ve </w:t>
      </w:r>
      <w:proofErr w:type="spellStart"/>
      <w:r>
        <w:t>p</w:t>
      </w:r>
      <w:r>
        <w:t>y</w:t>
      </w:r>
      <w:r>
        <w:t>rosekanslama</w:t>
      </w:r>
      <w:proofErr w:type="spellEnd"/>
      <w:r>
        <w:t xml:space="preserve"> yöntemleri uygulanmaya başlanmıştır. 2024 yılı itibarıyla ise yeni nesil </w:t>
      </w:r>
      <w:proofErr w:type="spellStart"/>
      <w:r>
        <w:t>sekanslama</w:t>
      </w:r>
      <w:proofErr w:type="spellEnd"/>
      <w:r>
        <w:t xml:space="preserve"> (NGS) analizleri rutin tanısal süreçlere entegre edilmiştir.</w:t>
      </w:r>
    </w:p>
    <w:p w:rsidR="00D86D7A" w:rsidRDefault="00D86D7A" w:rsidP="00D86D7A">
      <w:pPr>
        <w:pStyle w:val="NormalWeb"/>
      </w:pPr>
      <w:proofErr w:type="spellStart"/>
      <w:r>
        <w:t>Histopatolojik</w:t>
      </w:r>
      <w:proofErr w:type="spellEnd"/>
      <w:r>
        <w:t xml:space="preserve"> tanı süreçlerinin giderek daha kapsamlı ve kompleks hale gelmesi doğrultusunda, 2003 yılından itibaren branşlaşmaya dayalı değerlendirme modeline geçilmiştir. Bu kapsamda öğretim üyelerimiz belirli alt uzmanlık alanlarında yoğunlaşarak </w:t>
      </w:r>
      <w:proofErr w:type="spellStart"/>
      <w:r>
        <w:t>histopatolojik</w:t>
      </w:r>
      <w:proofErr w:type="spellEnd"/>
      <w:r>
        <w:t xml:space="preserve"> incelemeleri yürütmektedir. Baş-boyun, endokrin, </w:t>
      </w:r>
      <w:proofErr w:type="spellStart"/>
      <w:r>
        <w:t>gastrointestinal</w:t>
      </w:r>
      <w:proofErr w:type="spellEnd"/>
      <w:r>
        <w:t xml:space="preserve">, </w:t>
      </w:r>
      <w:proofErr w:type="spellStart"/>
      <w:r>
        <w:t>hepatopankreatobilier</w:t>
      </w:r>
      <w:proofErr w:type="spellEnd"/>
      <w:r>
        <w:t xml:space="preserve"> sistem</w:t>
      </w:r>
      <w:r>
        <w:t xml:space="preserve">, </w:t>
      </w:r>
      <w:proofErr w:type="spellStart"/>
      <w:r>
        <w:t>kardiyovasküler</w:t>
      </w:r>
      <w:proofErr w:type="spellEnd"/>
      <w:r>
        <w:t>, kemik ve yumuşak doku, meme</w:t>
      </w:r>
      <w:r>
        <w:t xml:space="preserve"> patolojisi</w:t>
      </w:r>
      <w:r>
        <w:t xml:space="preserve">, pediatrik ve </w:t>
      </w:r>
      <w:proofErr w:type="spellStart"/>
      <w:r>
        <w:t>perinatal</w:t>
      </w:r>
      <w:proofErr w:type="spellEnd"/>
      <w:r>
        <w:t xml:space="preserve"> patoloji, </w:t>
      </w:r>
      <w:proofErr w:type="spellStart"/>
      <w:r>
        <w:t>pulmoner</w:t>
      </w:r>
      <w:proofErr w:type="spellEnd"/>
      <w:r>
        <w:t xml:space="preserve"> patoloji, </w:t>
      </w:r>
      <w:proofErr w:type="spellStart"/>
      <w:r>
        <w:t>dermatopatoloji</w:t>
      </w:r>
      <w:proofErr w:type="spellEnd"/>
      <w:r>
        <w:t xml:space="preserve">, </w:t>
      </w:r>
      <w:proofErr w:type="spellStart"/>
      <w:r>
        <w:t>hematopatoloji</w:t>
      </w:r>
      <w:proofErr w:type="spellEnd"/>
      <w:r>
        <w:t xml:space="preserve">, jinekolojik patoloji, </w:t>
      </w:r>
      <w:proofErr w:type="spellStart"/>
      <w:r>
        <w:t>nefropatoloji</w:t>
      </w:r>
      <w:proofErr w:type="spellEnd"/>
      <w:r>
        <w:t xml:space="preserve">, </w:t>
      </w:r>
      <w:proofErr w:type="spellStart"/>
      <w:r>
        <w:t>nöropatoloji</w:t>
      </w:r>
      <w:proofErr w:type="spellEnd"/>
      <w:r>
        <w:t xml:space="preserve"> ve </w:t>
      </w:r>
      <w:proofErr w:type="spellStart"/>
      <w:r>
        <w:t>üropatoloji</w:t>
      </w:r>
      <w:proofErr w:type="spellEnd"/>
      <w:r>
        <w:t xml:space="preserve"> alanlarında özelleşmiş uzman hekimler tarafından hizmet sunulmaktadır.</w:t>
      </w:r>
      <w:r>
        <w:t xml:space="preserve"> </w:t>
      </w:r>
      <w:r>
        <w:t>Öğretim üyelerimizin önemli bir kısmı yurt dışındaki referans merkezlerde eğitim alarak akademik ve tanısal yetkinliklerini geliştirmiş; ulusal ve uluslararası dernekler ile çalışma gruplarında aktif üyelikler üstlenmiştir. Bu birikim, bölümümüzün hem tanısal kalitesine hem de eğitim ve araştırma faaliyetlerine güçlü katkı sağlamaktadır.</w:t>
      </w:r>
    </w:p>
    <w:p w:rsidR="006511F2" w:rsidRDefault="006511F2" w:rsidP="006511F2">
      <w:pPr>
        <w:pStyle w:val="NormalWeb"/>
      </w:pPr>
      <w:r>
        <w:t xml:space="preserve">Patoloji alanında bilişim temelli araştırma ve geliştirme çalışmaları Anabilim Dalımızda erken dönemden itibaren öncelikli bir yer tutmuştur. Dijital patoloji uygulamaları, 2000 yılından başlayarak hem araştırma hem de tanısal süreçlerde kullanılmaya başlanmıştır. 2000–2010 yılları arasında Elektronik Mühendisliği ile yürütülen ortak çalışmalar, dijital patoloji yazılımlarının geliştirilmesine önemli katkılar sağlamıştır. Özellikle tıp fakültesi eğitimine yönelik olarak planlanan çalışmalar kapsamında, Türkiye’deki ilk sanal </w:t>
      </w:r>
      <w:proofErr w:type="spellStart"/>
      <w:r>
        <w:t>mikroskopi</w:t>
      </w:r>
      <w:proofErr w:type="spellEnd"/>
      <w:r>
        <w:t xml:space="preserve"> uygulaması 2009 yılında Dokuz Eylül Üniversitesi Patoloji Anabilim Dalında başlatılmıştır.</w:t>
      </w:r>
      <w:r>
        <w:t xml:space="preserve"> </w:t>
      </w:r>
      <w:r>
        <w:t xml:space="preserve">2019 yılından itibaren yenilenen tarama cihazının devreye girmesiyle birlikte </w:t>
      </w:r>
      <w:proofErr w:type="spellStart"/>
      <w:r>
        <w:t>dijitalizasyon</w:t>
      </w:r>
      <w:proofErr w:type="spellEnd"/>
      <w:r>
        <w:t xml:space="preserve"> teknolojisi yalnızca eğitim amaçlı değil, rutin tanısal süreçlerde de etkin biçimde kullanılmaya başlanmıştır. Özellikle FISH değerlendirmeleri gibi özellikli incelemelerde dijital sistemler tanısal işleyişin bir parçası haline gelmiştir. Ayrıca 2015 yılında </w:t>
      </w:r>
      <w:proofErr w:type="spellStart"/>
      <w:r>
        <w:t>stereolojik</w:t>
      </w:r>
      <w:proofErr w:type="spellEnd"/>
      <w:r>
        <w:t xml:space="preserve"> görüntüleme sisteminin kurularak değerlendirmelerin başlatıldığı ilk Patoloji Anabilim Dalı olma özelliği taşımaktayız.</w:t>
      </w:r>
    </w:p>
    <w:p w:rsidR="006511F2" w:rsidRDefault="006511F2" w:rsidP="006511F2">
      <w:pPr>
        <w:pStyle w:val="NormalWeb"/>
      </w:pPr>
      <w:r>
        <w:t>Kalite yönetimi ve standar</w:t>
      </w:r>
      <w:r>
        <w:t>d</w:t>
      </w:r>
      <w:r>
        <w:t xml:space="preserve">izasyon alanında da öncü bir konumda bulunan Anabilim Dalımızın tanısal süreçleri, 2012 yılında </w:t>
      </w:r>
      <w:r>
        <w:rPr>
          <w:rStyle w:val="whitespace-normal"/>
        </w:rPr>
        <w:t>Türk Akreditasyon Kurumu</w:t>
      </w:r>
      <w:r>
        <w:t xml:space="preserve"> (TÜRKAK) tarafından akredite edilmiştir. Bu akreditasyon ile laboratuvarımız, Türkiye’de akredite edilen ilk Patoloji Laboratuvarı olmuştur.</w:t>
      </w:r>
      <w:r>
        <w:t xml:space="preserve"> </w:t>
      </w:r>
      <w:r>
        <w:t xml:space="preserve">Laboratuvar süreçlerimizin büyük bölümü ileri teknolojiyle donatılmış cihazlar aracılığıyla </w:t>
      </w:r>
      <w:proofErr w:type="spellStart"/>
      <w:r>
        <w:t>otomatize</w:t>
      </w:r>
      <w:proofErr w:type="spellEnd"/>
      <w:r>
        <w:t xml:space="preserve"> edilmiş sistemler üzerinden yürütülmektedir. </w:t>
      </w:r>
      <w:proofErr w:type="spellStart"/>
      <w:r>
        <w:t>Histoteknik</w:t>
      </w:r>
      <w:proofErr w:type="spellEnd"/>
      <w:r>
        <w:t xml:space="preserve"> işlemler, boyama ve lam kapatma süreçleri, </w:t>
      </w:r>
      <w:proofErr w:type="spellStart"/>
      <w:r>
        <w:t>immünohistokimya</w:t>
      </w:r>
      <w:proofErr w:type="spellEnd"/>
      <w:r>
        <w:t xml:space="preserve">, in </w:t>
      </w:r>
      <w:proofErr w:type="spellStart"/>
      <w:r>
        <w:t>situ</w:t>
      </w:r>
      <w:proofErr w:type="spellEnd"/>
      <w:r>
        <w:t xml:space="preserve"> </w:t>
      </w:r>
      <w:proofErr w:type="spellStart"/>
      <w:r>
        <w:t>hibridizasyon</w:t>
      </w:r>
      <w:proofErr w:type="spellEnd"/>
      <w:r>
        <w:t xml:space="preserve"> ve </w:t>
      </w:r>
      <w:proofErr w:type="spellStart"/>
      <w:r>
        <w:t>polimeraz</w:t>
      </w:r>
      <w:proofErr w:type="spellEnd"/>
      <w:r>
        <w:t xml:space="preserve"> zincir reaksiyonu uygulamaları kapalı sistemlerde gerçekleştirilmekte; böylece hem kalite standardizasyonu hem de hasta güvenliği en üst düzeyde sağlanmaktadır.</w:t>
      </w:r>
    </w:p>
    <w:p w:rsidR="00D86D7A" w:rsidRDefault="00D86D7A"/>
    <w:p w:rsidR="00D86D7A" w:rsidRDefault="00D86D7A"/>
    <w:p w:rsidR="00496C9C" w:rsidRDefault="00496C9C" w:rsidP="00496C9C">
      <w:pPr>
        <w:pStyle w:val="NormalWeb"/>
      </w:pPr>
      <w:r>
        <w:lastRenderedPageBreak/>
        <w:t xml:space="preserve">Moleküler Patoloji Laboratuvarımız resmi olarak 2015 yılında faaliyete başlamıştır. Ancak moleküler patoloji uygulamaları daha erken dönemde başlatılmış; floresan ve gümüş temelli in </w:t>
      </w:r>
      <w:proofErr w:type="spellStart"/>
      <w:r>
        <w:t>situ</w:t>
      </w:r>
      <w:proofErr w:type="spellEnd"/>
      <w:r>
        <w:t xml:space="preserve"> </w:t>
      </w:r>
      <w:proofErr w:type="spellStart"/>
      <w:r>
        <w:t>hibridizasyon</w:t>
      </w:r>
      <w:proofErr w:type="spellEnd"/>
      <w:r>
        <w:t xml:space="preserve"> yöntemleri 2012 yılından itibaren tanısal süreçlerde kullanılmaya başlanmıştır. 2015 sonrasında </w:t>
      </w:r>
      <w:proofErr w:type="spellStart"/>
      <w:r>
        <w:t>real</w:t>
      </w:r>
      <w:proofErr w:type="spellEnd"/>
      <w:r>
        <w:t xml:space="preserve">-time </w:t>
      </w:r>
      <w:proofErr w:type="spellStart"/>
      <w:r>
        <w:t>polimeraz</w:t>
      </w:r>
      <w:proofErr w:type="spellEnd"/>
      <w:r>
        <w:t xml:space="preserve"> zincir reaksiyonu (PCR) ve </w:t>
      </w:r>
      <w:proofErr w:type="spellStart"/>
      <w:r>
        <w:t>p</w:t>
      </w:r>
      <w:r>
        <w:t>y</w:t>
      </w:r>
      <w:r>
        <w:t>rosekanslama</w:t>
      </w:r>
      <w:proofErr w:type="spellEnd"/>
      <w:r>
        <w:t xml:space="preserve"> yöntemleri ile mutasyon analizleri rutin uygulamaya girmiş; 2024 yılından itibaren ise çoklu gen panelleri kullanılarak yeni nesil </w:t>
      </w:r>
      <w:proofErr w:type="spellStart"/>
      <w:r>
        <w:t>sekanslama</w:t>
      </w:r>
      <w:proofErr w:type="spellEnd"/>
      <w:r>
        <w:t xml:space="preserve"> (NGS) analizleri gerçekleştirilmeye başlanmıştır. Bu sayede hedefe yönelik tedavi seçeneklerine ışık tutan </w:t>
      </w:r>
      <w:proofErr w:type="spellStart"/>
      <w:r>
        <w:t>prediktif</w:t>
      </w:r>
      <w:proofErr w:type="spellEnd"/>
      <w:r>
        <w:t xml:space="preserve"> moleküler veriler oluşturulmakta ve klinik karar süreçlerine güçlü katkı sağlanmaktadır.</w:t>
      </w:r>
    </w:p>
    <w:p w:rsidR="00496C9C" w:rsidRDefault="00496C9C" w:rsidP="00496C9C">
      <w:pPr>
        <w:pStyle w:val="NormalWeb"/>
      </w:pPr>
      <w:r>
        <w:t xml:space="preserve">Patoloji Anabilim Dalımız, Dokuz Eylül Üniversitesi Tıp Fakültesi’nde lisans eğitimi sunmanın yanı sıra bugüne kadar toplam 74 patoloji uzmanı yetiştirmiştir. Tıp Fakültesi eğitiminin dışında çeşitli meslek yüksekokulu, lisans ve lisansüstü programlara da eğitim desteği verilmektedir. Bu programlar arasında Temel Onkoloji Doktora Programı, </w:t>
      </w:r>
      <w:proofErr w:type="spellStart"/>
      <w:r>
        <w:t>Translasyonel</w:t>
      </w:r>
      <w:proofErr w:type="spellEnd"/>
      <w:r>
        <w:t xml:space="preserve"> Tıp Yüksek Lisans Programı, Fizik Tedavi Meslek Yüksekokulu ve Sağlık Hizmetler</w:t>
      </w:r>
      <w:bookmarkStart w:id="0" w:name="_GoBack"/>
      <w:bookmarkEnd w:id="0"/>
      <w:r>
        <w:t>i Meslek Yüksekokulu Laboratuvar Bölümü yer almaktadır.</w:t>
      </w:r>
    </w:p>
    <w:p w:rsidR="00496C9C" w:rsidRDefault="00496C9C" w:rsidP="00496C9C">
      <w:pPr>
        <w:pStyle w:val="NormalWeb"/>
      </w:pPr>
      <w:r>
        <w:t xml:space="preserve">Anabilim Dalımız, öğretim üyelerinin girişimiyle, Sağlık Bilimleri Enstitüsü bünyesinde 2018 yılında </w:t>
      </w:r>
      <w:r>
        <w:rPr>
          <w:rStyle w:val="whitespace-normal"/>
        </w:rPr>
        <w:t>Yükseköğretim Kurulu</w:t>
      </w:r>
      <w:r>
        <w:t xml:space="preserve"> onayı alarak Türkiye’de ilk Moleküler Patoloji Doktora Programını açan bölüm olmuştur. Programın kuruluşundan bu yana 8 patoloji uzmanı doktora eğitimini tamamlamış olup, halen 15 patoloji uzmanı doktora öğrencisi eğitimine devam etmektedir.</w:t>
      </w:r>
    </w:p>
    <w:p w:rsidR="00496C9C" w:rsidRDefault="00496C9C" w:rsidP="00496C9C">
      <w:pPr>
        <w:pStyle w:val="NormalWeb"/>
      </w:pPr>
      <w:r>
        <w:t xml:space="preserve">Uzmanlık eğitimi alanındaki yetkinliğimiz, Ocak 2021 tarihinde </w:t>
      </w:r>
      <w:r>
        <w:rPr>
          <w:rStyle w:val="whitespace-normal"/>
        </w:rPr>
        <w:t>Patoloji Dernekleri Federasyonu</w:t>
      </w:r>
      <w:r>
        <w:t xml:space="preserve"> tarafından verilen Uzmanlık Eğitimi Akreditasyon Sertifikası ile tescillenmiştir. Ayrıca Anabilim Dalımız, bilimsel araştırma performansı açısından hem Dokuz Eylül Üniversitesi Tıp Fakültesi’nde hem de Türkiye genelinde patoloji alanında öncü konumdadır. </w:t>
      </w:r>
      <w:r>
        <w:rPr>
          <w:rStyle w:val="whitespace-normal"/>
        </w:rPr>
        <w:t>TÜBİTAK ULAKBİM</w:t>
      </w:r>
      <w:r>
        <w:t xml:space="preserve"> tarafından son 10 yılı kapsayan değerlendirmede; h-indeksi, yayın sayısı ve atıf sayıları esas alınarak yapılan sıralamada üst basamaklarda yer almaktadır.</w:t>
      </w:r>
    </w:p>
    <w:p w:rsidR="00496C9C" w:rsidRDefault="00496C9C"/>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Anabilim </w:t>
      </w:r>
      <w:proofErr w:type="spellStart"/>
      <w:r w:rsidRPr="0091628E">
        <w:rPr>
          <w:rFonts w:ascii="Times New Roman" w:hAnsi="Times New Roman" w:cs="Times New Roman"/>
          <w:sz w:val="24"/>
          <w:szCs w:val="24"/>
        </w:rPr>
        <w:t>Dalımız’ın</w:t>
      </w:r>
      <w:proofErr w:type="spellEnd"/>
      <w:r w:rsidRPr="0091628E">
        <w:rPr>
          <w:rFonts w:ascii="Times New Roman" w:hAnsi="Times New Roman" w:cs="Times New Roman"/>
          <w:sz w:val="24"/>
          <w:szCs w:val="24"/>
        </w:rPr>
        <w:t xml:space="preserve"> kuruluşundan bu yana başkanlar: </w:t>
      </w:r>
    </w:p>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M. </w:t>
      </w:r>
      <w:proofErr w:type="spellStart"/>
      <w:r w:rsidRPr="0091628E">
        <w:rPr>
          <w:rFonts w:ascii="Times New Roman" w:hAnsi="Times New Roman" w:cs="Times New Roman"/>
          <w:sz w:val="24"/>
          <w:szCs w:val="24"/>
        </w:rPr>
        <w:t>Şerefettin</w:t>
      </w:r>
      <w:proofErr w:type="spellEnd"/>
      <w:r w:rsidRPr="0091628E">
        <w:rPr>
          <w:rFonts w:ascii="Times New Roman" w:hAnsi="Times New Roman" w:cs="Times New Roman"/>
          <w:sz w:val="24"/>
          <w:szCs w:val="24"/>
        </w:rPr>
        <w:t xml:space="preserve"> Canda (1979-1983) </w:t>
      </w:r>
    </w:p>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Tülay Canda (1983-1988) </w:t>
      </w:r>
    </w:p>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Emek Özen (1988-2001) </w:t>
      </w:r>
    </w:p>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w:t>
      </w:r>
      <w:proofErr w:type="spellStart"/>
      <w:r w:rsidRPr="0091628E">
        <w:rPr>
          <w:rFonts w:ascii="Times New Roman" w:hAnsi="Times New Roman" w:cs="Times New Roman"/>
          <w:sz w:val="24"/>
          <w:szCs w:val="24"/>
        </w:rPr>
        <w:t>Aydanur</w:t>
      </w:r>
      <w:proofErr w:type="spellEnd"/>
      <w:r w:rsidRPr="0091628E">
        <w:rPr>
          <w:rFonts w:ascii="Times New Roman" w:hAnsi="Times New Roman" w:cs="Times New Roman"/>
          <w:sz w:val="24"/>
          <w:szCs w:val="24"/>
        </w:rPr>
        <w:t xml:space="preserve"> Kargı (2001-2007) </w:t>
      </w:r>
    </w:p>
    <w:p w:rsidR="00C70DE9"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Erdener Özer (2007-2015) </w:t>
      </w:r>
    </w:p>
    <w:p w:rsidR="00874A9F" w:rsidRPr="0091628E" w:rsidRDefault="00C70DE9">
      <w:pPr>
        <w:rPr>
          <w:rFonts w:ascii="Times New Roman" w:hAnsi="Times New Roman" w:cs="Times New Roman"/>
          <w:sz w:val="24"/>
          <w:szCs w:val="24"/>
        </w:rPr>
      </w:pPr>
      <w:r w:rsidRPr="0091628E">
        <w:rPr>
          <w:rFonts w:ascii="Times New Roman" w:hAnsi="Times New Roman" w:cs="Times New Roman"/>
          <w:sz w:val="24"/>
          <w:szCs w:val="24"/>
        </w:rPr>
        <w:t xml:space="preserve">Prof. Dr. </w:t>
      </w:r>
      <w:proofErr w:type="spellStart"/>
      <w:r w:rsidRPr="0091628E">
        <w:rPr>
          <w:rFonts w:ascii="Times New Roman" w:hAnsi="Times New Roman" w:cs="Times New Roman"/>
          <w:sz w:val="24"/>
          <w:szCs w:val="24"/>
        </w:rPr>
        <w:t>Sülen</w:t>
      </w:r>
      <w:proofErr w:type="spellEnd"/>
      <w:r w:rsidRPr="0091628E">
        <w:rPr>
          <w:rFonts w:ascii="Times New Roman" w:hAnsi="Times New Roman" w:cs="Times New Roman"/>
          <w:sz w:val="24"/>
          <w:szCs w:val="24"/>
        </w:rPr>
        <w:t xml:space="preserve"> Sarıoğlu (2015</w:t>
      </w:r>
      <w:r w:rsidR="00F95964" w:rsidRPr="0091628E">
        <w:rPr>
          <w:rFonts w:ascii="Times New Roman" w:hAnsi="Times New Roman" w:cs="Times New Roman"/>
          <w:sz w:val="24"/>
          <w:szCs w:val="24"/>
        </w:rPr>
        <w:t>-</w:t>
      </w:r>
      <w:r w:rsidR="00C64E4B" w:rsidRPr="0091628E">
        <w:rPr>
          <w:rFonts w:ascii="Times New Roman" w:hAnsi="Times New Roman" w:cs="Times New Roman"/>
          <w:sz w:val="24"/>
          <w:szCs w:val="24"/>
        </w:rPr>
        <w:t>2018</w:t>
      </w:r>
      <w:r w:rsidRPr="0091628E">
        <w:rPr>
          <w:rFonts w:ascii="Times New Roman" w:hAnsi="Times New Roman" w:cs="Times New Roman"/>
          <w:sz w:val="24"/>
          <w:szCs w:val="24"/>
        </w:rPr>
        <w:t>)</w:t>
      </w:r>
    </w:p>
    <w:p w:rsidR="00C64E4B" w:rsidRPr="0091628E" w:rsidRDefault="00C64E4B">
      <w:pPr>
        <w:rPr>
          <w:rFonts w:ascii="Times New Roman" w:hAnsi="Times New Roman" w:cs="Times New Roman"/>
          <w:sz w:val="24"/>
          <w:szCs w:val="24"/>
        </w:rPr>
      </w:pPr>
      <w:r w:rsidRPr="0091628E">
        <w:rPr>
          <w:rFonts w:ascii="Times New Roman" w:hAnsi="Times New Roman" w:cs="Times New Roman"/>
          <w:sz w:val="24"/>
          <w:szCs w:val="24"/>
        </w:rPr>
        <w:t>Prof. Dr. Burçin Tuna (2018-2021)</w:t>
      </w:r>
    </w:p>
    <w:p w:rsidR="00C64E4B" w:rsidRPr="0091628E" w:rsidRDefault="00C64E4B">
      <w:pPr>
        <w:rPr>
          <w:rFonts w:ascii="Times New Roman" w:hAnsi="Times New Roman" w:cs="Times New Roman"/>
          <w:sz w:val="24"/>
          <w:szCs w:val="24"/>
        </w:rPr>
      </w:pPr>
      <w:r w:rsidRPr="0091628E">
        <w:rPr>
          <w:rFonts w:ascii="Times New Roman" w:hAnsi="Times New Roman" w:cs="Times New Roman"/>
          <w:sz w:val="24"/>
          <w:szCs w:val="24"/>
        </w:rPr>
        <w:t xml:space="preserve">Prof. Dr. Özgül </w:t>
      </w:r>
      <w:proofErr w:type="spellStart"/>
      <w:r w:rsidRPr="0091628E">
        <w:rPr>
          <w:rFonts w:ascii="Times New Roman" w:hAnsi="Times New Roman" w:cs="Times New Roman"/>
          <w:sz w:val="24"/>
          <w:szCs w:val="24"/>
        </w:rPr>
        <w:t>Sağol</w:t>
      </w:r>
      <w:proofErr w:type="spellEnd"/>
      <w:r w:rsidRPr="0091628E">
        <w:rPr>
          <w:rFonts w:ascii="Times New Roman" w:hAnsi="Times New Roman" w:cs="Times New Roman"/>
          <w:sz w:val="24"/>
          <w:szCs w:val="24"/>
        </w:rPr>
        <w:t xml:space="preserve"> (2021-2024)</w:t>
      </w:r>
    </w:p>
    <w:p w:rsidR="00C64E4B" w:rsidRPr="0091628E" w:rsidRDefault="00C64E4B">
      <w:pPr>
        <w:rPr>
          <w:rFonts w:ascii="Times New Roman" w:hAnsi="Times New Roman" w:cs="Times New Roman"/>
          <w:sz w:val="24"/>
          <w:szCs w:val="24"/>
        </w:rPr>
      </w:pPr>
      <w:r w:rsidRPr="0091628E">
        <w:rPr>
          <w:rFonts w:ascii="Times New Roman" w:hAnsi="Times New Roman" w:cs="Times New Roman"/>
          <w:sz w:val="24"/>
          <w:szCs w:val="24"/>
        </w:rPr>
        <w:t>Prof. Dr. Sermin Özkal 2024-2025)</w:t>
      </w:r>
    </w:p>
    <w:p w:rsidR="00C64E4B" w:rsidRPr="0091628E" w:rsidRDefault="00C64E4B">
      <w:pPr>
        <w:rPr>
          <w:rFonts w:ascii="Times New Roman" w:hAnsi="Times New Roman" w:cs="Times New Roman"/>
          <w:sz w:val="24"/>
          <w:szCs w:val="24"/>
        </w:rPr>
      </w:pPr>
      <w:r w:rsidRPr="0091628E">
        <w:rPr>
          <w:rFonts w:ascii="Times New Roman" w:hAnsi="Times New Roman" w:cs="Times New Roman"/>
          <w:sz w:val="24"/>
          <w:szCs w:val="24"/>
        </w:rPr>
        <w:t>Prof. Dr. Merih Güray Durak (2025- halen)</w:t>
      </w:r>
    </w:p>
    <w:sectPr w:rsidR="00C64E4B" w:rsidRPr="00916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1921"/>
    <w:multiLevelType w:val="hybridMultilevel"/>
    <w:tmpl w:val="6E22A290"/>
    <w:lvl w:ilvl="0" w:tplc="EE48FB78">
      <w:start w:val="1"/>
      <w:numFmt w:val="bullet"/>
      <w:lvlText w:val="•"/>
      <w:lvlJc w:val="left"/>
      <w:pPr>
        <w:tabs>
          <w:tab w:val="num" w:pos="720"/>
        </w:tabs>
        <w:ind w:left="720" w:hanging="360"/>
      </w:pPr>
      <w:rPr>
        <w:rFonts w:ascii="Arial" w:hAnsi="Arial" w:hint="default"/>
      </w:rPr>
    </w:lvl>
    <w:lvl w:ilvl="1" w:tplc="D9EE40C2" w:tentative="1">
      <w:start w:val="1"/>
      <w:numFmt w:val="bullet"/>
      <w:lvlText w:val="•"/>
      <w:lvlJc w:val="left"/>
      <w:pPr>
        <w:tabs>
          <w:tab w:val="num" w:pos="1440"/>
        </w:tabs>
        <w:ind w:left="1440" w:hanging="360"/>
      </w:pPr>
      <w:rPr>
        <w:rFonts w:ascii="Arial" w:hAnsi="Arial" w:hint="default"/>
      </w:rPr>
    </w:lvl>
    <w:lvl w:ilvl="2" w:tplc="ADE6E3DC" w:tentative="1">
      <w:start w:val="1"/>
      <w:numFmt w:val="bullet"/>
      <w:lvlText w:val="•"/>
      <w:lvlJc w:val="left"/>
      <w:pPr>
        <w:tabs>
          <w:tab w:val="num" w:pos="2160"/>
        </w:tabs>
        <w:ind w:left="2160" w:hanging="360"/>
      </w:pPr>
      <w:rPr>
        <w:rFonts w:ascii="Arial" w:hAnsi="Arial" w:hint="default"/>
      </w:rPr>
    </w:lvl>
    <w:lvl w:ilvl="3" w:tplc="133AFEDA" w:tentative="1">
      <w:start w:val="1"/>
      <w:numFmt w:val="bullet"/>
      <w:lvlText w:val="•"/>
      <w:lvlJc w:val="left"/>
      <w:pPr>
        <w:tabs>
          <w:tab w:val="num" w:pos="2880"/>
        </w:tabs>
        <w:ind w:left="2880" w:hanging="360"/>
      </w:pPr>
      <w:rPr>
        <w:rFonts w:ascii="Arial" w:hAnsi="Arial" w:hint="default"/>
      </w:rPr>
    </w:lvl>
    <w:lvl w:ilvl="4" w:tplc="9104BA86" w:tentative="1">
      <w:start w:val="1"/>
      <w:numFmt w:val="bullet"/>
      <w:lvlText w:val="•"/>
      <w:lvlJc w:val="left"/>
      <w:pPr>
        <w:tabs>
          <w:tab w:val="num" w:pos="3600"/>
        </w:tabs>
        <w:ind w:left="3600" w:hanging="360"/>
      </w:pPr>
      <w:rPr>
        <w:rFonts w:ascii="Arial" w:hAnsi="Arial" w:hint="default"/>
      </w:rPr>
    </w:lvl>
    <w:lvl w:ilvl="5" w:tplc="23C21FE6" w:tentative="1">
      <w:start w:val="1"/>
      <w:numFmt w:val="bullet"/>
      <w:lvlText w:val="•"/>
      <w:lvlJc w:val="left"/>
      <w:pPr>
        <w:tabs>
          <w:tab w:val="num" w:pos="4320"/>
        </w:tabs>
        <w:ind w:left="4320" w:hanging="360"/>
      </w:pPr>
      <w:rPr>
        <w:rFonts w:ascii="Arial" w:hAnsi="Arial" w:hint="default"/>
      </w:rPr>
    </w:lvl>
    <w:lvl w:ilvl="6" w:tplc="315AA374" w:tentative="1">
      <w:start w:val="1"/>
      <w:numFmt w:val="bullet"/>
      <w:lvlText w:val="•"/>
      <w:lvlJc w:val="left"/>
      <w:pPr>
        <w:tabs>
          <w:tab w:val="num" w:pos="5040"/>
        </w:tabs>
        <w:ind w:left="5040" w:hanging="360"/>
      </w:pPr>
      <w:rPr>
        <w:rFonts w:ascii="Arial" w:hAnsi="Arial" w:hint="default"/>
      </w:rPr>
    </w:lvl>
    <w:lvl w:ilvl="7" w:tplc="2CB8F078" w:tentative="1">
      <w:start w:val="1"/>
      <w:numFmt w:val="bullet"/>
      <w:lvlText w:val="•"/>
      <w:lvlJc w:val="left"/>
      <w:pPr>
        <w:tabs>
          <w:tab w:val="num" w:pos="5760"/>
        </w:tabs>
        <w:ind w:left="5760" w:hanging="360"/>
      </w:pPr>
      <w:rPr>
        <w:rFonts w:ascii="Arial" w:hAnsi="Arial" w:hint="default"/>
      </w:rPr>
    </w:lvl>
    <w:lvl w:ilvl="8" w:tplc="BFA6D7B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9"/>
    <w:rsid w:val="00036999"/>
    <w:rsid w:val="000E22D5"/>
    <w:rsid w:val="0035539B"/>
    <w:rsid w:val="00496C9C"/>
    <w:rsid w:val="004C3EF5"/>
    <w:rsid w:val="006511F2"/>
    <w:rsid w:val="00874A9F"/>
    <w:rsid w:val="0091628E"/>
    <w:rsid w:val="00C64E4B"/>
    <w:rsid w:val="00C70DE9"/>
    <w:rsid w:val="00CA4D90"/>
    <w:rsid w:val="00D2606D"/>
    <w:rsid w:val="00D86D7A"/>
    <w:rsid w:val="00E76696"/>
    <w:rsid w:val="00F95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44FD"/>
  <w15:chartTrackingRefBased/>
  <w15:docId w15:val="{0CC081E6-9ABE-4CDB-8B11-F885D83B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6D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65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4714">
      <w:bodyDiv w:val="1"/>
      <w:marLeft w:val="0"/>
      <w:marRight w:val="0"/>
      <w:marTop w:val="0"/>
      <w:marBottom w:val="0"/>
      <w:divBdr>
        <w:top w:val="none" w:sz="0" w:space="0" w:color="auto"/>
        <w:left w:val="none" w:sz="0" w:space="0" w:color="auto"/>
        <w:bottom w:val="none" w:sz="0" w:space="0" w:color="auto"/>
        <w:right w:val="none" w:sz="0" w:space="0" w:color="auto"/>
      </w:divBdr>
    </w:div>
    <w:div w:id="983698803">
      <w:bodyDiv w:val="1"/>
      <w:marLeft w:val="0"/>
      <w:marRight w:val="0"/>
      <w:marTop w:val="0"/>
      <w:marBottom w:val="0"/>
      <w:divBdr>
        <w:top w:val="none" w:sz="0" w:space="0" w:color="auto"/>
        <w:left w:val="none" w:sz="0" w:space="0" w:color="auto"/>
        <w:bottom w:val="none" w:sz="0" w:space="0" w:color="auto"/>
        <w:right w:val="none" w:sz="0" w:space="0" w:color="auto"/>
      </w:divBdr>
    </w:div>
    <w:div w:id="1055817243">
      <w:bodyDiv w:val="1"/>
      <w:marLeft w:val="0"/>
      <w:marRight w:val="0"/>
      <w:marTop w:val="0"/>
      <w:marBottom w:val="0"/>
      <w:divBdr>
        <w:top w:val="none" w:sz="0" w:space="0" w:color="auto"/>
        <w:left w:val="none" w:sz="0" w:space="0" w:color="auto"/>
        <w:bottom w:val="none" w:sz="0" w:space="0" w:color="auto"/>
        <w:right w:val="none" w:sz="0" w:space="0" w:color="auto"/>
      </w:divBdr>
      <w:divsChild>
        <w:div w:id="1550263487">
          <w:marLeft w:val="547"/>
          <w:marRight w:val="0"/>
          <w:marTop w:val="144"/>
          <w:marBottom w:val="0"/>
          <w:divBdr>
            <w:top w:val="none" w:sz="0" w:space="0" w:color="auto"/>
            <w:left w:val="none" w:sz="0" w:space="0" w:color="auto"/>
            <w:bottom w:val="none" w:sz="0" w:space="0" w:color="auto"/>
            <w:right w:val="none" w:sz="0" w:space="0" w:color="auto"/>
          </w:divBdr>
        </w:div>
      </w:divsChild>
    </w:div>
    <w:div w:id="16983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Dokuz Eylül Üniversitesi</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Merih Güray DURAK</dc:creator>
  <cp:keywords/>
  <dc:description/>
  <cp:lastModifiedBy>Merih Güray DURAK</cp:lastModifiedBy>
  <cp:revision>6</cp:revision>
  <dcterms:created xsi:type="dcterms:W3CDTF">2025-08-20T04:59:00Z</dcterms:created>
  <dcterms:modified xsi:type="dcterms:W3CDTF">2026-02-13T13:20:00Z</dcterms:modified>
</cp:coreProperties>
</file>